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D63" w:rsidRDefault="00AD4D63" w:rsidP="00165B1B">
      <w:pPr>
        <w:pStyle w:val="a3"/>
        <w:spacing w:after="120"/>
        <w:rPr>
          <w:rtl/>
        </w:rPr>
      </w:pPr>
    </w:p>
    <w:p w:rsidR="004C5B7C" w:rsidRDefault="004C5B7C" w:rsidP="00AD4D63">
      <w:pPr>
        <w:pStyle w:val="a3"/>
        <w:spacing w:after="120" w:line="240" w:lineRule="exact"/>
        <w:ind w:left="283" w:hanging="283"/>
        <w:jc w:val="both"/>
        <w:rPr>
          <w:rtl/>
        </w:rPr>
      </w:pPr>
    </w:p>
    <w:p w:rsidR="00000D2F" w:rsidRDefault="006A180F" w:rsidP="004C5B7C">
      <w:pPr>
        <w:pStyle w:val="a3"/>
        <w:pBdr>
          <w:top w:val="single" w:sz="4" w:space="0" w:color="auto"/>
          <w:left w:val="single" w:sz="4" w:space="0" w:color="auto"/>
          <w:bottom w:val="single" w:sz="4" w:space="0" w:color="auto"/>
          <w:right w:val="single" w:sz="4" w:space="0" w:color="auto"/>
        </w:pBdr>
        <w:spacing w:after="120" w:line="240" w:lineRule="exact"/>
        <w:ind w:left="283" w:hanging="283"/>
        <w:jc w:val="both"/>
        <w:rPr>
          <w:rFonts w:hint="cs"/>
          <w:rtl/>
        </w:rPr>
      </w:pPr>
      <w:r>
        <w:rPr>
          <w:rFonts w:hint="cs"/>
          <w:rtl/>
        </w:rPr>
        <w:t>ערעור פלילי</w:t>
      </w:r>
      <w:r w:rsidR="00000D2F">
        <w:rPr>
          <w:rtl/>
        </w:rPr>
        <w:t xml:space="preserve">  </w:t>
      </w:r>
      <w:r>
        <w:rPr>
          <w:rFonts w:hint="cs"/>
          <w:rtl/>
        </w:rPr>
        <w:t>03</w:t>
      </w:r>
      <w:r w:rsidR="00000D2F">
        <w:rPr>
          <w:rtl/>
        </w:rPr>
        <w:t xml:space="preserve"> / </w:t>
      </w:r>
      <w:r>
        <w:rPr>
          <w:rFonts w:hint="cs"/>
          <w:rtl/>
        </w:rPr>
        <w:t>7829</w:t>
      </w:r>
    </w:p>
    <w:p w:rsidR="00000D2F" w:rsidRDefault="006A180F" w:rsidP="00000D2F">
      <w:pPr>
        <w:pStyle w:val="-1"/>
        <w:rPr>
          <w:rFonts w:hint="cs"/>
          <w:rtl/>
        </w:rPr>
      </w:pPr>
      <w:r>
        <w:rPr>
          <w:rFonts w:hint="cs"/>
          <w:rtl/>
        </w:rPr>
        <w:t>מדינת ישראל</w:t>
      </w:r>
    </w:p>
    <w:p w:rsidR="00000D2F" w:rsidRDefault="00000D2F" w:rsidP="00000D2F">
      <w:pPr>
        <w:pStyle w:val="-1"/>
        <w:rPr>
          <w:rtl/>
        </w:rPr>
      </w:pPr>
      <w:r>
        <w:rPr>
          <w:rtl/>
        </w:rPr>
        <w:t>נגד</w:t>
      </w:r>
    </w:p>
    <w:p w:rsidR="00000D2F" w:rsidRDefault="00000D2F" w:rsidP="006A180F">
      <w:pPr>
        <w:pStyle w:val="-1"/>
        <w:rPr>
          <w:rFonts w:hint="cs"/>
          <w:rtl/>
        </w:rPr>
      </w:pPr>
      <w:bookmarkStart w:id="0" w:name="RESPONDERS"/>
      <w:r>
        <w:rPr>
          <w:rFonts w:hint="cs"/>
          <w:rtl/>
        </w:rPr>
        <w:t xml:space="preserve">1. </w:t>
      </w:r>
      <w:r w:rsidR="006A180F">
        <w:rPr>
          <w:rFonts w:hint="cs"/>
          <w:rtl/>
        </w:rPr>
        <w:t>אריאל הנדסת חשמל רמזורים ובקרה בע"מ</w:t>
      </w:r>
    </w:p>
    <w:p w:rsidR="00000D2F" w:rsidRDefault="00000D2F" w:rsidP="006A180F">
      <w:pPr>
        <w:pStyle w:val="-1"/>
        <w:rPr>
          <w:rFonts w:hint="cs"/>
          <w:rtl/>
        </w:rPr>
      </w:pPr>
      <w:r>
        <w:rPr>
          <w:rFonts w:hint="cs"/>
          <w:rtl/>
        </w:rPr>
        <w:t xml:space="preserve">2. </w:t>
      </w:r>
      <w:r w:rsidR="006A180F">
        <w:rPr>
          <w:rFonts w:hint="cs"/>
          <w:rtl/>
        </w:rPr>
        <w:t>אברהם הרשלום</w:t>
      </w:r>
    </w:p>
    <w:p w:rsidR="006A180F" w:rsidRDefault="006A180F" w:rsidP="00165B1B">
      <w:pPr>
        <w:pStyle w:val="-1"/>
        <w:spacing w:after="0"/>
        <w:rPr>
          <w:rFonts w:hint="cs"/>
          <w:rtl/>
        </w:rPr>
      </w:pPr>
      <w:r>
        <w:rPr>
          <w:rFonts w:hint="cs"/>
          <w:rtl/>
        </w:rPr>
        <w:t>3. שי אופיר</w:t>
      </w:r>
    </w:p>
    <w:bookmarkEnd w:id="0"/>
    <w:p w:rsidR="00000D2F" w:rsidRDefault="00000D2F" w:rsidP="006A180F">
      <w:pPr>
        <w:pStyle w:val="-10"/>
        <w:spacing w:before="360"/>
        <w:rPr>
          <w:rFonts w:hint="cs"/>
          <w:rtl/>
        </w:rPr>
      </w:pPr>
      <w:r>
        <w:rPr>
          <w:rtl/>
        </w:rPr>
        <w:t>בבית</w:t>
      </w:r>
      <w:r w:rsidR="006A180F">
        <w:rPr>
          <w:rFonts w:hint="cs"/>
          <w:position w:val="4"/>
          <w:sz w:val="18"/>
          <w:rtl/>
        </w:rPr>
        <w:t xml:space="preserve"> </w:t>
      </w:r>
      <w:r>
        <w:rPr>
          <w:rtl/>
        </w:rPr>
        <w:t xml:space="preserve">המשפט העליון </w:t>
      </w:r>
      <w:r>
        <w:rPr>
          <w:rFonts w:hint="cs"/>
          <w:rtl/>
        </w:rPr>
        <w:t>בשבתו כבית</w:t>
      </w:r>
      <w:r w:rsidR="006A180F">
        <w:rPr>
          <w:rFonts w:hint="cs"/>
          <w:position w:val="4"/>
          <w:rtl/>
        </w:rPr>
        <w:t xml:space="preserve"> </w:t>
      </w:r>
      <w:r>
        <w:rPr>
          <w:rFonts w:hint="cs"/>
          <w:rtl/>
        </w:rPr>
        <w:t>משפט</w:t>
      </w:r>
      <w:r w:rsidR="006A180F">
        <w:rPr>
          <w:rFonts w:hint="cs"/>
          <w:rtl/>
        </w:rPr>
        <w:t xml:space="preserve"> לערעורים פליליים</w:t>
      </w:r>
    </w:p>
    <w:p w:rsidR="00000D2F" w:rsidRDefault="00000D2F" w:rsidP="006A180F">
      <w:pPr>
        <w:pStyle w:val="-10"/>
        <w:rPr>
          <w:rtl/>
        </w:rPr>
      </w:pPr>
      <w:r>
        <w:rPr>
          <w:rtl/>
        </w:rPr>
        <w:t>[</w:t>
      </w:r>
      <w:r w:rsidR="006A180F">
        <w:rPr>
          <w:rFonts w:hint="cs"/>
          <w:rtl/>
        </w:rPr>
        <w:t>14.7.2005</w:t>
      </w:r>
      <w:r>
        <w:rPr>
          <w:rtl/>
        </w:rPr>
        <w:t>]</w:t>
      </w:r>
    </w:p>
    <w:p w:rsidR="00000D2F" w:rsidRDefault="00000D2F" w:rsidP="006A180F">
      <w:pPr>
        <w:pStyle w:val="-10"/>
        <w:spacing w:after="360"/>
        <w:rPr>
          <w:rFonts w:hint="cs"/>
          <w:rtl/>
        </w:rPr>
      </w:pPr>
      <w:r>
        <w:rPr>
          <w:rtl/>
        </w:rPr>
        <w:t xml:space="preserve">לפני </w:t>
      </w:r>
      <w:r>
        <w:rPr>
          <w:rFonts w:hint="cs"/>
          <w:rtl/>
        </w:rPr>
        <w:t>ה</w:t>
      </w:r>
      <w:r>
        <w:rPr>
          <w:rtl/>
        </w:rPr>
        <w:t>שופטים</w:t>
      </w:r>
      <w:r>
        <w:rPr>
          <w:spacing w:val="20"/>
          <w:rtl/>
        </w:rPr>
        <w:t xml:space="preserve"> </w:t>
      </w:r>
      <w:r w:rsidR="006A180F">
        <w:rPr>
          <w:rFonts w:hint="cs"/>
          <w:spacing w:val="20"/>
          <w:rtl/>
        </w:rPr>
        <w:t>א</w:t>
      </w:r>
      <w:r>
        <w:rPr>
          <w:spacing w:val="20"/>
          <w:rtl/>
        </w:rPr>
        <w:t>'</w:t>
      </w:r>
      <w:r w:rsidR="006A180F">
        <w:rPr>
          <w:rFonts w:hint="cs"/>
          <w:spacing w:val="20"/>
          <w:rtl/>
        </w:rPr>
        <w:t xml:space="preserve"> א' לוי</w:t>
      </w:r>
      <w:r>
        <w:rPr>
          <w:spacing w:val="20"/>
          <w:rtl/>
        </w:rPr>
        <w:t xml:space="preserve">, </w:t>
      </w:r>
      <w:r w:rsidR="006A180F">
        <w:rPr>
          <w:rFonts w:hint="cs"/>
          <w:spacing w:val="20"/>
          <w:rtl/>
        </w:rPr>
        <w:t>ס</w:t>
      </w:r>
      <w:r>
        <w:rPr>
          <w:spacing w:val="20"/>
          <w:rtl/>
        </w:rPr>
        <w:t xml:space="preserve">' </w:t>
      </w:r>
      <w:r w:rsidR="006A180F">
        <w:rPr>
          <w:rFonts w:hint="cs"/>
          <w:spacing w:val="20"/>
          <w:rtl/>
        </w:rPr>
        <w:t>ג'ובראן, א' חיות</w:t>
      </w:r>
    </w:p>
    <w:p w:rsidR="008A62E1" w:rsidRDefault="006A180F" w:rsidP="00A615D7">
      <w:pPr>
        <w:pStyle w:val="a0"/>
        <w:spacing w:line="240" w:lineRule="exact"/>
        <w:ind w:firstLine="0"/>
        <w:rPr>
          <w:rtl/>
        </w:rPr>
      </w:pPr>
      <w:bookmarkStart w:id="1" w:name="DOCUMENT_TITLE"/>
      <w:r>
        <w:rPr>
          <w:rFonts w:hint="eastAsia"/>
          <w:rtl/>
        </w:rPr>
        <w:t>בכ</w:t>
      </w:r>
      <w:r>
        <w:rPr>
          <w:rFonts w:hint="cs"/>
          <w:rtl/>
        </w:rPr>
        <w:t>ת</w:t>
      </w:r>
      <w:r w:rsidRPr="002534A4">
        <w:rPr>
          <w:rFonts w:hint="eastAsia"/>
          <w:rtl/>
        </w:rPr>
        <w:t>ב</w:t>
      </w:r>
      <w:r w:rsidRPr="002534A4">
        <w:rPr>
          <w:rtl/>
        </w:rPr>
        <w:t xml:space="preserve"> </w:t>
      </w:r>
      <w:r w:rsidRPr="002534A4">
        <w:rPr>
          <w:rFonts w:hint="eastAsia"/>
          <w:rtl/>
        </w:rPr>
        <w:t>אישום</w:t>
      </w:r>
      <w:r w:rsidRPr="002534A4">
        <w:rPr>
          <w:rtl/>
        </w:rPr>
        <w:t xml:space="preserve"> שהוגש לבית המשפט המחוזי נטען כי המשיבים 1 ו</w:t>
      </w:r>
      <w:r w:rsidRPr="00165B1B">
        <w:rPr>
          <w:position w:val="3"/>
          <w:rtl/>
        </w:rPr>
        <w:t>-</w:t>
      </w:r>
      <w:r w:rsidRPr="002534A4">
        <w:rPr>
          <w:rtl/>
        </w:rPr>
        <w:t>2</w:t>
      </w:r>
      <w:r w:rsidRPr="002534A4">
        <w:rPr>
          <w:rFonts w:hint="cs"/>
          <w:rtl/>
        </w:rPr>
        <w:t xml:space="preserve">, חברה </w:t>
      </w:r>
      <w:r w:rsidRPr="002534A4">
        <w:rPr>
          <w:rtl/>
        </w:rPr>
        <w:t>העוסקת בתחזוקת רמזורים</w:t>
      </w:r>
      <w:r w:rsidRPr="002534A4">
        <w:rPr>
          <w:rFonts w:hint="cs"/>
          <w:rtl/>
        </w:rPr>
        <w:t xml:space="preserve"> ומנהלה, </w:t>
      </w:r>
      <w:r>
        <w:rPr>
          <w:rFonts w:hint="cs"/>
          <w:rtl/>
        </w:rPr>
        <w:t xml:space="preserve">היו </w:t>
      </w:r>
      <w:r>
        <w:rPr>
          <w:rFonts w:hint="eastAsia"/>
          <w:rtl/>
        </w:rPr>
        <w:t>צד</w:t>
      </w:r>
      <w:r w:rsidRPr="002534A4">
        <w:rPr>
          <w:rtl/>
        </w:rPr>
        <w:t xml:space="preserve"> להסדר כובל </w:t>
      </w:r>
      <w:r w:rsidRPr="002534A4">
        <w:rPr>
          <w:rFonts w:hint="cs"/>
          <w:rtl/>
        </w:rPr>
        <w:t>ש</w:t>
      </w:r>
      <w:r w:rsidRPr="002534A4">
        <w:rPr>
          <w:rtl/>
        </w:rPr>
        <w:t>מטרתו הי</w:t>
      </w:r>
      <w:r w:rsidRPr="002534A4">
        <w:rPr>
          <w:rFonts w:hint="cs"/>
          <w:rtl/>
        </w:rPr>
        <w:t>י</w:t>
      </w:r>
      <w:r w:rsidRPr="002534A4">
        <w:rPr>
          <w:rtl/>
        </w:rPr>
        <w:t>תה חלוקת שוק</w:t>
      </w:r>
      <w:r w:rsidRPr="002534A4">
        <w:rPr>
          <w:rFonts w:hint="cs"/>
          <w:rtl/>
        </w:rPr>
        <w:t xml:space="preserve"> ו</w:t>
      </w:r>
      <w:r w:rsidRPr="002534A4">
        <w:rPr>
          <w:rtl/>
        </w:rPr>
        <w:t>יוחסה להם עבירה לפי סעי</w:t>
      </w:r>
      <w:r w:rsidRPr="002534A4">
        <w:rPr>
          <w:rFonts w:hint="cs"/>
          <w:rtl/>
        </w:rPr>
        <w:t>ף</w:t>
      </w:r>
      <w:r w:rsidRPr="002534A4">
        <w:rPr>
          <w:rtl/>
        </w:rPr>
        <w:t xml:space="preserve"> 47(א)(1) ל</w:t>
      </w:r>
      <w:r w:rsidR="00A7624C" w:rsidRPr="005A31F1">
        <w:rPr>
          <w:rtl/>
        </w:rPr>
        <w:t>חוק ההגבלים העסקיים</w:t>
      </w:r>
      <w:r w:rsidRPr="002534A4">
        <w:rPr>
          <w:rtl/>
        </w:rPr>
        <w:t>, תשמ"ח-1988 (להלן</w:t>
      </w:r>
      <w:r w:rsidRPr="002534A4">
        <w:rPr>
          <w:rFonts w:hint="cs"/>
          <w:rtl/>
        </w:rPr>
        <w:t xml:space="preserve"> </w:t>
      </w:r>
      <w:r w:rsidRPr="002534A4">
        <w:rPr>
          <w:rtl/>
        </w:rPr>
        <w:t>–</w:t>
      </w:r>
      <w:r>
        <w:rPr>
          <w:rFonts w:hint="cs"/>
          <w:rtl/>
        </w:rPr>
        <w:t xml:space="preserve"> חוק</w:t>
      </w:r>
      <w:r w:rsidR="00860B7E">
        <w:rPr>
          <w:rFonts w:hint="cs"/>
          <w:rtl/>
        </w:rPr>
        <w:t xml:space="preserve"> ההגבלים</w:t>
      </w:r>
      <w:r>
        <w:rPr>
          <w:rFonts w:hint="cs"/>
          <w:rtl/>
        </w:rPr>
        <w:t xml:space="preserve">). </w:t>
      </w:r>
      <w:r w:rsidRPr="002534A4">
        <w:rPr>
          <w:rFonts w:hint="cs"/>
          <w:rtl/>
        </w:rPr>
        <w:t xml:space="preserve">נטען כי </w:t>
      </w:r>
      <w:r>
        <w:rPr>
          <w:rFonts w:hint="cs"/>
          <w:rtl/>
        </w:rPr>
        <w:t>ב</w:t>
      </w:r>
      <w:r w:rsidRPr="002534A4">
        <w:rPr>
          <w:rFonts w:hint="cs"/>
          <w:rtl/>
        </w:rPr>
        <w:t>הסכם בוררות שערכו המשיבה 1 וחברה אחרת</w:t>
      </w:r>
      <w:r>
        <w:rPr>
          <w:rFonts w:hint="cs"/>
          <w:rtl/>
        </w:rPr>
        <w:t xml:space="preserve">, שבו </w:t>
      </w:r>
      <w:r w:rsidRPr="002534A4">
        <w:rPr>
          <w:rtl/>
        </w:rPr>
        <w:t xml:space="preserve">התחייבה </w:t>
      </w:r>
      <w:r>
        <w:rPr>
          <w:rFonts w:hint="cs"/>
          <w:rtl/>
        </w:rPr>
        <w:t xml:space="preserve">המשיבה 1 </w:t>
      </w:r>
      <w:r w:rsidRPr="002534A4">
        <w:rPr>
          <w:rtl/>
        </w:rPr>
        <w:t xml:space="preserve">להימנע מלהשתתף במכרז </w:t>
      </w:r>
      <w:r>
        <w:rPr>
          <w:rtl/>
        </w:rPr>
        <w:t>של עיריית חיפה לתחזוקת רמזורים בעיר</w:t>
      </w:r>
      <w:r>
        <w:rPr>
          <w:rFonts w:hint="cs"/>
          <w:rtl/>
        </w:rPr>
        <w:t>,</w:t>
      </w:r>
      <w:r w:rsidRPr="002534A4">
        <w:rPr>
          <w:rtl/>
        </w:rPr>
        <w:t xml:space="preserve"> היה מסווה ליצירתו </w:t>
      </w:r>
      <w:r w:rsidRPr="002534A4">
        <w:rPr>
          <w:rFonts w:hint="eastAsia"/>
          <w:rtl/>
        </w:rPr>
        <w:t>של</w:t>
      </w:r>
      <w:r w:rsidRPr="002534A4">
        <w:rPr>
          <w:rtl/>
        </w:rPr>
        <w:t xml:space="preserve"> </w:t>
      </w:r>
      <w:r w:rsidRPr="002534A4">
        <w:rPr>
          <w:rFonts w:hint="cs"/>
          <w:rtl/>
        </w:rPr>
        <w:t>ה</w:t>
      </w:r>
      <w:r w:rsidRPr="002534A4">
        <w:rPr>
          <w:rtl/>
        </w:rPr>
        <w:t xml:space="preserve">הסדר </w:t>
      </w:r>
      <w:r w:rsidRPr="002534A4">
        <w:rPr>
          <w:rFonts w:hint="cs"/>
          <w:rtl/>
        </w:rPr>
        <w:t>ה</w:t>
      </w:r>
      <w:r w:rsidRPr="002534A4">
        <w:rPr>
          <w:rtl/>
        </w:rPr>
        <w:t>כובל</w:t>
      </w:r>
      <w:r>
        <w:rPr>
          <w:rFonts w:hint="cs"/>
          <w:rtl/>
        </w:rPr>
        <w:t xml:space="preserve">, שמכוחו </w:t>
      </w:r>
      <w:r w:rsidRPr="002534A4">
        <w:rPr>
          <w:rtl/>
        </w:rPr>
        <w:t xml:space="preserve">קיבלה </w:t>
      </w:r>
      <w:r>
        <w:rPr>
          <w:rFonts w:hint="cs"/>
          <w:rtl/>
        </w:rPr>
        <w:t xml:space="preserve">המשיבה 1 </w:t>
      </w:r>
      <w:r w:rsidRPr="002534A4">
        <w:rPr>
          <w:rtl/>
        </w:rPr>
        <w:t>לידיה את תחזוקת הרמזורים ב</w:t>
      </w:r>
      <w:r>
        <w:rPr>
          <w:rFonts w:hint="cs"/>
          <w:rtl/>
        </w:rPr>
        <w:t xml:space="preserve">ירושלים, </w:t>
      </w:r>
      <w:r w:rsidRPr="002534A4">
        <w:rPr>
          <w:rtl/>
        </w:rPr>
        <w:t>ו</w:t>
      </w:r>
      <w:r>
        <w:rPr>
          <w:rFonts w:hint="cs"/>
          <w:rtl/>
        </w:rPr>
        <w:t xml:space="preserve">החברה האחרת </w:t>
      </w:r>
      <w:r w:rsidRPr="002534A4">
        <w:rPr>
          <w:rtl/>
        </w:rPr>
        <w:t xml:space="preserve">את </w:t>
      </w:r>
      <w:r>
        <w:rPr>
          <w:rFonts w:hint="cs"/>
          <w:rtl/>
        </w:rPr>
        <w:t xml:space="preserve">חיפה. למשיב 3, </w:t>
      </w:r>
      <w:r>
        <w:rPr>
          <w:rtl/>
        </w:rPr>
        <w:t>ש</w:t>
      </w:r>
      <w:r>
        <w:rPr>
          <w:rFonts w:hint="cs"/>
          <w:rtl/>
        </w:rPr>
        <w:t xml:space="preserve">שימש כבורר בין החברות, יוחסה עבירה של </w:t>
      </w:r>
      <w:r w:rsidRPr="002534A4">
        <w:rPr>
          <w:rtl/>
        </w:rPr>
        <w:t>סיוע ליצירתו של הסדר כובל.</w:t>
      </w:r>
      <w:r>
        <w:rPr>
          <w:rFonts w:hint="cs"/>
          <w:rtl/>
        </w:rPr>
        <w:t xml:space="preserve"> בית המשפט זיכה את המשיבים וקבע, בין היתר, כי </w:t>
      </w:r>
      <w:r>
        <w:rPr>
          <w:rFonts w:hint="eastAsia"/>
          <w:rtl/>
        </w:rPr>
        <w:t>עומדת</w:t>
      </w:r>
      <w:r>
        <w:rPr>
          <w:rtl/>
        </w:rPr>
        <w:t xml:space="preserve"> להם ההגנה הקבועה בסעיף 34יז ל</w:t>
      </w:r>
      <w:r w:rsidR="00A7624C" w:rsidRPr="005A31F1">
        <w:rPr>
          <w:rtl/>
        </w:rPr>
        <w:t>חוק העונשין</w:t>
      </w:r>
      <w:r>
        <w:rPr>
          <w:rtl/>
        </w:rPr>
        <w:t>, תשל"ז-1977 בדבר זוטי דברים.</w:t>
      </w:r>
      <w:r>
        <w:rPr>
          <w:rFonts w:hint="cs"/>
          <w:rtl/>
        </w:rPr>
        <w:t xml:space="preserve"> באשר למשיב 3, נקבע כי </w:t>
      </w:r>
      <w:r w:rsidRPr="002534A4">
        <w:rPr>
          <w:rtl/>
        </w:rPr>
        <w:t xml:space="preserve">הוא חוסה </w:t>
      </w:r>
      <w:r>
        <w:rPr>
          <w:rFonts w:hint="cs"/>
          <w:rtl/>
        </w:rPr>
        <w:t xml:space="preserve">גם </w:t>
      </w:r>
      <w:r w:rsidRPr="002534A4">
        <w:rPr>
          <w:rFonts w:hint="eastAsia"/>
          <w:rtl/>
        </w:rPr>
        <w:t>בצלו</w:t>
      </w:r>
      <w:r w:rsidR="00DC19BA">
        <w:rPr>
          <w:rtl/>
        </w:rPr>
        <w:t xml:space="preserve"> של סעיף 34כ</w:t>
      </w:r>
      <w:r w:rsidRPr="002534A4">
        <w:rPr>
          <w:rtl/>
        </w:rPr>
        <w:t xml:space="preserve"> ל</w:t>
      </w:r>
      <w:r w:rsidR="00A7624C" w:rsidRPr="005A31F1">
        <w:rPr>
          <w:rtl/>
        </w:rPr>
        <w:t>חוק העונשין</w:t>
      </w:r>
      <w:r w:rsidRPr="002534A4">
        <w:rPr>
          <w:rtl/>
        </w:rPr>
        <w:t xml:space="preserve">, </w:t>
      </w:r>
      <w:r>
        <w:rPr>
          <w:rFonts w:hint="cs"/>
          <w:rtl/>
        </w:rPr>
        <w:t>ה</w:t>
      </w:r>
      <w:r>
        <w:rPr>
          <w:rtl/>
        </w:rPr>
        <w:t xml:space="preserve">מעניק לנושא משרה שיפוטית חסינות </w:t>
      </w:r>
      <w:r>
        <w:rPr>
          <w:rFonts w:hint="eastAsia"/>
          <w:rtl/>
        </w:rPr>
        <w:t>מפני</w:t>
      </w:r>
      <w:r>
        <w:rPr>
          <w:rtl/>
        </w:rPr>
        <w:t xml:space="preserve"> העמדה לדין בגין מעשים שעשה במהלך תפקידו</w:t>
      </w:r>
      <w:r>
        <w:rPr>
          <w:rFonts w:hint="cs"/>
          <w:rtl/>
        </w:rPr>
        <w:t>. מכאן הערעור</w:t>
      </w:r>
      <w:r w:rsidR="008A62E1">
        <w:rPr>
          <w:rtl/>
        </w:rPr>
        <w:t>.</w:t>
      </w:r>
    </w:p>
    <w:p w:rsidR="008A62E1" w:rsidRDefault="008A62E1" w:rsidP="00166A59">
      <w:pPr>
        <w:pStyle w:val="1"/>
        <w:spacing w:before="180" w:line="248" w:lineRule="exact"/>
        <w:rPr>
          <w:rtl/>
        </w:rPr>
      </w:pPr>
      <w:r>
        <w:rPr>
          <w:rtl/>
        </w:rPr>
        <w:t>בית</w:t>
      </w:r>
      <w:r w:rsidR="006A180F">
        <w:rPr>
          <w:rFonts w:hint="cs"/>
          <w:position w:val="3"/>
          <w:rtl/>
        </w:rPr>
        <w:t xml:space="preserve"> </w:t>
      </w:r>
      <w:r>
        <w:rPr>
          <w:rtl/>
        </w:rPr>
        <w:t>המשפט העליון פסק:</w:t>
      </w:r>
    </w:p>
    <w:p w:rsidR="006A180F" w:rsidRPr="004D7CC7" w:rsidRDefault="006A180F" w:rsidP="00A615D7">
      <w:pPr>
        <w:pStyle w:val="1"/>
        <w:spacing w:line="240" w:lineRule="exact"/>
        <w:rPr>
          <w:rFonts w:hint="cs"/>
          <w:rtl/>
        </w:rPr>
      </w:pPr>
      <w:r>
        <w:rPr>
          <w:rFonts w:hint="cs"/>
          <w:rtl/>
        </w:rPr>
        <w:t>א.</w:t>
      </w:r>
      <w:r>
        <w:rPr>
          <w:rFonts w:hint="cs"/>
          <w:rtl/>
        </w:rPr>
        <w:tab/>
        <w:t>(1)</w:t>
      </w:r>
      <w:r>
        <w:rPr>
          <w:rFonts w:hint="cs"/>
          <w:rtl/>
        </w:rPr>
        <w:tab/>
      </w:r>
      <w:r w:rsidRPr="004D7CC7">
        <w:rPr>
          <w:rtl/>
        </w:rPr>
        <w:t xml:space="preserve">ההגדרה </w:t>
      </w:r>
      <w:r>
        <w:rPr>
          <w:rFonts w:hint="cs"/>
          <w:rtl/>
        </w:rPr>
        <w:t xml:space="preserve">של הסדר כובל </w:t>
      </w:r>
      <w:r>
        <w:rPr>
          <w:rtl/>
        </w:rPr>
        <w:t xml:space="preserve">בסעיף </w:t>
      </w:r>
      <w:r>
        <w:rPr>
          <w:rFonts w:hint="cs"/>
          <w:rtl/>
        </w:rPr>
        <w:t xml:space="preserve">2(א) לחוק </w:t>
      </w:r>
      <w:r w:rsidR="00860B7E">
        <w:rPr>
          <w:rFonts w:hint="cs"/>
          <w:rtl/>
        </w:rPr>
        <w:t xml:space="preserve">ההגבלים </w:t>
      </w:r>
      <w:r w:rsidRPr="004D7CC7">
        <w:rPr>
          <w:rtl/>
        </w:rPr>
        <w:t>קובעת ארבעה יסודו</w:t>
      </w:r>
      <w:r w:rsidRPr="004D7CC7">
        <w:rPr>
          <w:rFonts w:hint="eastAsia"/>
          <w:rtl/>
        </w:rPr>
        <w:t>ת</w:t>
      </w:r>
      <w:r w:rsidRPr="004D7CC7">
        <w:rPr>
          <w:rtl/>
        </w:rPr>
        <w:t xml:space="preserve"> מצטברים: קיומו של הסדר; זהותם של הצדדים להסדר, קרי בני אדם </w:t>
      </w:r>
      <w:r w:rsidRPr="004D7CC7">
        <w:rPr>
          <w:rFonts w:hint="eastAsia"/>
          <w:rtl/>
        </w:rPr>
        <w:t>המנהלים</w:t>
      </w:r>
      <w:r w:rsidRPr="004D7CC7">
        <w:rPr>
          <w:rtl/>
        </w:rPr>
        <w:t xml:space="preserve"> עסקים; יסוד ההגבלה, </w:t>
      </w:r>
      <w:r>
        <w:rPr>
          <w:rFonts w:hint="cs"/>
          <w:rtl/>
        </w:rPr>
        <w:t>ש</w:t>
      </w:r>
      <w:r w:rsidRPr="004D7CC7">
        <w:rPr>
          <w:rtl/>
        </w:rPr>
        <w:t xml:space="preserve">לפיו ההסדר מגביל את פעילותו של אחד הצדדים לו, או </w:t>
      </w:r>
      <w:r w:rsidRPr="004D7CC7">
        <w:rPr>
          <w:rFonts w:hint="eastAsia"/>
          <w:rtl/>
        </w:rPr>
        <w:t>יותר</w:t>
      </w:r>
      <w:r w:rsidRPr="004D7CC7">
        <w:rPr>
          <w:rtl/>
        </w:rPr>
        <w:t xml:space="preserve">; </w:t>
      </w:r>
      <w:r>
        <w:rPr>
          <w:rFonts w:hint="cs"/>
          <w:rtl/>
        </w:rPr>
        <w:t>ו</w:t>
      </w:r>
      <w:r w:rsidRPr="004D7CC7">
        <w:rPr>
          <w:rtl/>
        </w:rPr>
        <w:t>יסוד הפוטנצי</w:t>
      </w:r>
      <w:r w:rsidR="000E680E">
        <w:rPr>
          <w:rtl/>
        </w:rPr>
        <w:t>אל לפגיעה בתחרות</w:t>
      </w:r>
      <w:r w:rsidR="000E680E">
        <w:rPr>
          <w:rFonts w:hint="cs"/>
          <w:rtl/>
        </w:rPr>
        <w:t xml:space="preserve"> (137ו – ז, 138</w:t>
      </w:r>
      <w:r w:rsidR="006E1444">
        <w:rPr>
          <w:rFonts w:hint="cs"/>
          <w:rtl/>
        </w:rPr>
        <w:t>ג</w:t>
      </w:r>
      <w:r w:rsidR="000E680E">
        <w:rPr>
          <w:rFonts w:hint="cs"/>
          <w:rtl/>
        </w:rPr>
        <w:t xml:space="preserve"> – </w:t>
      </w:r>
      <w:r w:rsidR="006E1444">
        <w:rPr>
          <w:rFonts w:hint="cs"/>
          <w:rtl/>
        </w:rPr>
        <w:t>ד</w:t>
      </w:r>
      <w:r w:rsidR="000E680E">
        <w:rPr>
          <w:rFonts w:hint="cs"/>
          <w:rtl/>
        </w:rPr>
        <w:t>)</w:t>
      </w:r>
      <w:r w:rsidRPr="004D7CC7">
        <w:rPr>
          <w:rFonts w:hint="cs"/>
          <w:rtl/>
        </w:rPr>
        <w:t>.</w:t>
      </w:r>
    </w:p>
    <w:p w:rsidR="006A180F" w:rsidRPr="004D7CC7" w:rsidRDefault="006A180F" w:rsidP="00A615D7">
      <w:pPr>
        <w:pStyle w:val="1"/>
        <w:spacing w:line="240" w:lineRule="exact"/>
        <w:rPr>
          <w:rFonts w:hint="cs"/>
          <w:rtl/>
        </w:rPr>
      </w:pPr>
      <w:r>
        <w:rPr>
          <w:rFonts w:hint="cs"/>
          <w:rtl/>
        </w:rPr>
        <w:tab/>
        <w:t>(2)</w:t>
      </w:r>
      <w:r>
        <w:rPr>
          <w:rFonts w:hint="cs"/>
          <w:rtl/>
        </w:rPr>
        <w:tab/>
      </w:r>
      <w:r>
        <w:rPr>
          <w:rtl/>
        </w:rPr>
        <w:t xml:space="preserve">סעיף </w:t>
      </w:r>
      <w:r>
        <w:rPr>
          <w:rFonts w:hint="cs"/>
          <w:rtl/>
        </w:rPr>
        <w:t>2(ב) לחוק</w:t>
      </w:r>
      <w:r w:rsidRPr="004D7CC7">
        <w:rPr>
          <w:rFonts w:hint="eastAsia"/>
          <w:rtl/>
        </w:rPr>
        <w:t xml:space="preserve"> </w:t>
      </w:r>
      <w:r w:rsidR="00860B7E">
        <w:rPr>
          <w:rFonts w:hint="cs"/>
          <w:rtl/>
        </w:rPr>
        <w:t xml:space="preserve">ההגבלים </w:t>
      </w:r>
      <w:r w:rsidRPr="004D7CC7">
        <w:rPr>
          <w:rtl/>
        </w:rPr>
        <w:t xml:space="preserve">מפרט ארבעה סוגי הסדרים קונקרטיים, אשר בהתקיימותם מקימים הם </w:t>
      </w:r>
      <w:r w:rsidRPr="004D7CC7">
        <w:rPr>
          <w:rFonts w:hint="eastAsia"/>
          <w:rtl/>
        </w:rPr>
        <w:t>חזקה</w:t>
      </w:r>
      <w:r w:rsidRPr="004D7CC7">
        <w:rPr>
          <w:rtl/>
        </w:rPr>
        <w:t xml:space="preserve"> בדבר פגיעה בתחרות,</w:t>
      </w:r>
      <w:r w:rsidR="008514F4">
        <w:rPr>
          <w:rtl/>
        </w:rPr>
        <w:t xml:space="preserve"> </w:t>
      </w:r>
      <w:r w:rsidR="00860B7E">
        <w:rPr>
          <w:rFonts w:hint="cs"/>
          <w:rtl/>
        </w:rPr>
        <w:t>ו</w:t>
      </w:r>
      <w:r w:rsidRPr="004D7CC7">
        <w:rPr>
          <w:rtl/>
        </w:rPr>
        <w:t xml:space="preserve">לפיכך </w:t>
      </w:r>
      <w:r w:rsidR="00860B7E">
        <w:rPr>
          <w:rFonts w:hint="cs"/>
          <w:rtl/>
        </w:rPr>
        <w:t xml:space="preserve">הם בבחינת </w:t>
      </w:r>
      <w:r w:rsidRPr="004D7CC7">
        <w:rPr>
          <w:rtl/>
        </w:rPr>
        <w:t xml:space="preserve">התנהגות אסורה של כבילה. </w:t>
      </w:r>
      <w:r>
        <w:rPr>
          <w:rFonts w:hint="cs"/>
          <w:rtl/>
        </w:rPr>
        <w:t xml:space="preserve">בית המשפט העליון </w:t>
      </w:r>
      <w:r w:rsidRPr="004D7CC7">
        <w:rPr>
          <w:rFonts w:hint="eastAsia"/>
          <w:rtl/>
        </w:rPr>
        <w:t>פירש</w:t>
      </w:r>
      <w:r w:rsidRPr="004D7CC7">
        <w:rPr>
          <w:rtl/>
        </w:rPr>
        <w:t xml:space="preserve"> חזקות אלה כחזקות חלוטות, הקובעות כלל של מהות </w:t>
      </w:r>
      <w:r w:rsidRPr="004D7CC7">
        <w:rPr>
          <w:rFonts w:hint="eastAsia"/>
          <w:rtl/>
        </w:rPr>
        <w:t>ושאינן</w:t>
      </w:r>
      <w:r w:rsidRPr="004D7CC7">
        <w:rPr>
          <w:rtl/>
        </w:rPr>
        <w:t xml:space="preserve"> ניתנות לסתירה</w:t>
      </w:r>
      <w:r w:rsidRPr="004D7CC7">
        <w:rPr>
          <w:rFonts w:hint="cs"/>
          <w:rtl/>
        </w:rPr>
        <w:t>.</w:t>
      </w:r>
      <w:r>
        <w:rPr>
          <w:rFonts w:hint="cs"/>
          <w:rtl/>
        </w:rPr>
        <w:t xml:space="preserve"> </w:t>
      </w:r>
      <w:r w:rsidRPr="004D7CC7">
        <w:rPr>
          <w:rtl/>
        </w:rPr>
        <w:t xml:space="preserve">הסדר המצוי בגדרן של החזקות החלוטות בסעיף 2(ב) </w:t>
      </w:r>
      <w:r w:rsidRPr="004D7CC7">
        <w:rPr>
          <w:rFonts w:hint="eastAsia"/>
          <w:rtl/>
        </w:rPr>
        <w:t>לחוק</w:t>
      </w:r>
      <w:r w:rsidRPr="004D7CC7">
        <w:rPr>
          <w:rtl/>
        </w:rPr>
        <w:t xml:space="preserve">, נכלל ממילא גם בגדרה של ההגדרה הכללית של "הסדר כובל" בסעיף 2(א), אלא שאת </w:t>
      </w:r>
      <w:r w:rsidRPr="004D7CC7">
        <w:rPr>
          <w:rFonts w:hint="eastAsia"/>
          <w:rtl/>
        </w:rPr>
        <w:t>יסודות</w:t>
      </w:r>
      <w:r w:rsidRPr="004D7CC7">
        <w:rPr>
          <w:rtl/>
        </w:rPr>
        <w:t xml:space="preserve"> ההגדרה בסעיף 2(א), ובהם יסוד הפגיעה בתחרות, פטורה התביעה מלהוכיח</w:t>
      </w:r>
      <w:r w:rsidR="000E680E">
        <w:rPr>
          <w:rFonts w:hint="cs"/>
          <w:rtl/>
        </w:rPr>
        <w:t xml:space="preserve"> (138ז – 139ד)</w:t>
      </w:r>
      <w:r w:rsidRPr="004D7CC7">
        <w:rPr>
          <w:rtl/>
        </w:rPr>
        <w:t>.</w:t>
      </w:r>
      <w:r w:rsidRPr="004D7CC7">
        <w:rPr>
          <w:rFonts w:hint="cs"/>
          <w:rtl/>
        </w:rPr>
        <w:t xml:space="preserve"> </w:t>
      </w:r>
    </w:p>
    <w:p w:rsidR="006A180F" w:rsidRPr="004D7CC7" w:rsidRDefault="00CD5C20" w:rsidP="00A615D7">
      <w:pPr>
        <w:pStyle w:val="1"/>
        <w:spacing w:line="240" w:lineRule="exact"/>
        <w:rPr>
          <w:rFonts w:hint="cs"/>
          <w:rtl/>
        </w:rPr>
      </w:pPr>
      <w:r>
        <w:rPr>
          <w:rtl/>
        </w:rPr>
        <w:br w:type="page"/>
      </w:r>
      <w:r w:rsidR="006A180F">
        <w:rPr>
          <w:rFonts w:hint="cs"/>
          <w:rtl/>
        </w:rPr>
        <w:lastRenderedPageBreak/>
        <w:tab/>
        <w:t>(3)</w:t>
      </w:r>
      <w:r w:rsidR="006A180F">
        <w:rPr>
          <w:rFonts w:hint="cs"/>
          <w:rtl/>
        </w:rPr>
        <w:tab/>
        <w:t xml:space="preserve">במקרה דנן יש לקבוע כי </w:t>
      </w:r>
      <w:r w:rsidR="006A180F" w:rsidRPr="004D7CC7">
        <w:rPr>
          <w:rtl/>
        </w:rPr>
        <w:t xml:space="preserve">הסכם הבוררות שבין </w:t>
      </w:r>
      <w:r w:rsidR="006A180F">
        <w:rPr>
          <w:rFonts w:hint="cs"/>
          <w:rtl/>
        </w:rPr>
        <w:t xml:space="preserve">המשיבה 1 לחברה האחרת </w:t>
      </w:r>
      <w:r w:rsidR="006A180F" w:rsidRPr="004D7CC7">
        <w:rPr>
          <w:rtl/>
        </w:rPr>
        <w:t>נועד ליצור "חלוקת שוק" כמשמעה בסעיף 2(ב)(3) לחוק</w:t>
      </w:r>
      <w:r w:rsidR="00860B7E">
        <w:rPr>
          <w:rFonts w:hint="cs"/>
          <w:rtl/>
        </w:rPr>
        <w:t xml:space="preserve"> ההגבלים</w:t>
      </w:r>
      <w:r w:rsidR="006A180F" w:rsidRPr="004D7CC7">
        <w:rPr>
          <w:rtl/>
        </w:rPr>
        <w:t xml:space="preserve">, </w:t>
      </w:r>
      <w:r w:rsidR="006A180F">
        <w:rPr>
          <w:rFonts w:hint="cs"/>
          <w:rtl/>
        </w:rPr>
        <w:t xml:space="preserve">שלפיו </w:t>
      </w:r>
      <w:r w:rsidR="006A180F">
        <w:rPr>
          <w:rtl/>
        </w:rPr>
        <w:t>יראו כהסדר כובל</w:t>
      </w:r>
      <w:r w:rsidR="006A180F" w:rsidRPr="004D7CC7">
        <w:rPr>
          <w:rtl/>
        </w:rPr>
        <w:t xml:space="preserve"> </w:t>
      </w:r>
      <w:r w:rsidR="006A180F" w:rsidRPr="004D7CC7">
        <w:rPr>
          <w:rFonts w:hint="eastAsia"/>
          <w:rtl/>
        </w:rPr>
        <w:t>הסדר</w:t>
      </w:r>
      <w:r w:rsidR="006A180F" w:rsidRPr="004D7CC7">
        <w:rPr>
          <w:rtl/>
        </w:rPr>
        <w:t xml:space="preserve"> שבו הכבילה </w:t>
      </w:r>
      <w:r w:rsidR="006A180F" w:rsidRPr="004D7CC7">
        <w:rPr>
          <w:rFonts w:hint="eastAsia"/>
          <w:rtl/>
        </w:rPr>
        <w:t>נוגעת</w:t>
      </w:r>
      <w:r w:rsidR="006A180F">
        <w:rPr>
          <w:rtl/>
        </w:rPr>
        <w:t xml:space="preserve"> לחלוקת השוק</w:t>
      </w:r>
      <w:r w:rsidR="006A180F" w:rsidRPr="004D7CC7">
        <w:rPr>
          <w:rtl/>
        </w:rPr>
        <w:t xml:space="preserve"> לפי מקום העיסוק </w:t>
      </w:r>
      <w:r w:rsidR="006A180F" w:rsidRPr="004D7CC7">
        <w:rPr>
          <w:rFonts w:hint="eastAsia"/>
          <w:rtl/>
        </w:rPr>
        <w:t>או</w:t>
      </w:r>
      <w:r w:rsidR="006A180F" w:rsidRPr="004D7CC7">
        <w:rPr>
          <w:rtl/>
        </w:rPr>
        <w:t xml:space="preserve"> לפי האנשים או סוג האנשים</w:t>
      </w:r>
      <w:r w:rsidR="006A180F">
        <w:rPr>
          <w:rtl/>
        </w:rPr>
        <w:t xml:space="preserve"> שעמם יעסקו</w:t>
      </w:r>
      <w:r w:rsidR="006A180F">
        <w:rPr>
          <w:rFonts w:hint="cs"/>
          <w:rtl/>
        </w:rPr>
        <w:t>.</w:t>
      </w:r>
      <w:r w:rsidR="006A180F" w:rsidRPr="004D7CC7">
        <w:rPr>
          <w:rtl/>
        </w:rPr>
        <w:t xml:space="preserve"> התחייבות הדדית </w:t>
      </w:r>
      <w:r w:rsidR="006A180F">
        <w:rPr>
          <w:rFonts w:hint="cs"/>
          <w:rtl/>
        </w:rPr>
        <w:t>כזו</w:t>
      </w:r>
      <w:r w:rsidR="006A180F" w:rsidRPr="004D7CC7">
        <w:rPr>
          <w:rtl/>
        </w:rPr>
        <w:t xml:space="preserve">, </w:t>
      </w:r>
      <w:r w:rsidR="00860B7E">
        <w:rPr>
          <w:rFonts w:hint="cs"/>
          <w:rtl/>
        </w:rPr>
        <w:t>ש</w:t>
      </w:r>
      <w:r w:rsidR="006A180F" w:rsidRPr="004D7CC7">
        <w:rPr>
          <w:rtl/>
        </w:rPr>
        <w:t xml:space="preserve">בה כל חברה רוכשת חזקה בטריטוריה נפרדת מכוחה של הסכמה מוקדמת ביניהן, יש </w:t>
      </w:r>
      <w:r w:rsidR="00860B7E">
        <w:rPr>
          <w:rFonts w:hint="eastAsia"/>
          <w:rtl/>
        </w:rPr>
        <w:t>לראות</w:t>
      </w:r>
      <w:r w:rsidR="00860B7E">
        <w:rPr>
          <w:rFonts w:hint="cs"/>
          <w:rtl/>
        </w:rPr>
        <w:t xml:space="preserve"> בה</w:t>
      </w:r>
      <w:r w:rsidR="006A180F" w:rsidRPr="004D7CC7">
        <w:rPr>
          <w:rtl/>
        </w:rPr>
        <w:t xml:space="preserve"> חלוקת שוק.</w:t>
      </w:r>
      <w:r w:rsidR="006A180F" w:rsidRPr="004D7CC7">
        <w:rPr>
          <w:rFonts w:hint="cs"/>
          <w:rtl/>
        </w:rPr>
        <w:t xml:space="preserve"> </w:t>
      </w:r>
      <w:r w:rsidR="006A180F">
        <w:rPr>
          <w:rFonts w:hint="cs"/>
          <w:rtl/>
        </w:rPr>
        <w:t xml:space="preserve">על כן </w:t>
      </w:r>
      <w:r w:rsidR="006A180F" w:rsidRPr="004D7CC7">
        <w:rPr>
          <w:rtl/>
        </w:rPr>
        <w:t xml:space="preserve">ההסכם בין </w:t>
      </w:r>
      <w:r w:rsidR="006A180F">
        <w:rPr>
          <w:rFonts w:hint="cs"/>
          <w:rtl/>
        </w:rPr>
        <w:t xml:space="preserve">החברות </w:t>
      </w:r>
      <w:r w:rsidR="006A180F" w:rsidRPr="004D7CC7">
        <w:rPr>
          <w:rFonts w:hint="eastAsia"/>
          <w:rtl/>
        </w:rPr>
        <w:t>מקים</w:t>
      </w:r>
      <w:r w:rsidR="006A180F" w:rsidRPr="004D7CC7">
        <w:rPr>
          <w:rtl/>
        </w:rPr>
        <w:t xml:space="preserve"> חזקה חלוטה </w:t>
      </w:r>
      <w:r w:rsidR="006A180F">
        <w:rPr>
          <w:rFonts w:hint="cs"/>
          <w:rtl/>
        </w:rPr>
        <w:t>ש</w:t>
      </w:r>
      <w:r w:rsidR="006A180F" w:rsidRPr="004D7CC7">
        <w:rPr>
          <w:rtl/>
        </w:rPr>
        <w:t xml:space="preserve">לפיה </w:t>
      </w:r>
      <w:r w:rsidR="00860B7E" w:rsidRPr="004D7CC7">
        <w:rPr>
          <w:rtl/>
        </w:rPr>
        <w:t xml:space="preserve">ההסדר </w:t>
      </w:r>
      <w:r w:rsidR="006A180F" w:rsidRPr="004D7CC7">
        <w:rPr>
          <w:rtl/>
        </w:rPr>
        <w:t>פוגע בתחרות</w:t>
      </w:r>
      <w:r w:rsidR="006A180F">
        <w:rPr>
          <w:rFonts w:hint="cs"/>
          <w:rtl/>
        </w:rPr>
        <w:t xml:space="preserve">, </w:t>
      </w:r>
      <w:r w:rsidR="006A180F">
        <w:rPr>
          <w:rtl/>
        </w:rPr>
        <w:t>ו</w:t>
      </w:r>
      <w:r w:rsidR="006A180F">
        <w:rPr>
          <w:rFonts w:hint="cs"/>
          <w:rtl/>
        </w:rPr>
        <w:t xml:space="preserve">יש לקבוע כי </w:t>
      </w:r>
      <w:r w:rsidR="006A180F" w:rsidRPr="004D7CC7">
        <w:rPr>
          <w:rtl/>
        </w:rPr>
        <w:t xml:space="preserve">הצדדים להסכם </w:t>
      </w:r>
      <w:r w:rsidR="006A180F">
        <w:rPr>
          <w:rFonts w:hint="cs"/>
          <w:rtl/>
        </w:rPr>
        <w:t xml:space="preserve">חטאו </w:t>
      </w:r>
      <w:r w:rsidR="006A180F" w:rsidRPr="004D7CC7">
        <w:rPr>
          <w:rtl/>
        </w:rPr>
        <w:t xml:space="preserve">בעבירה של יצירת הסדר </w:t>
      </w:r>
      <w:r w:rsidR="000E680E">
        <w:rPr>
          <w:rFonts w:hint="eastAsia"/>
          <w:rtl/>
        </w:rPr>
        <w:t>כוב</w:t>
      </w:r>
      <w:r w:rsidR="000E680E">
        <w:rPr>
          <w:rFonts w:hint="cs"/>
          <w:rtl/>
        </w:rPr>
        <w:t>ל (141ד – ו, 142א – ב)</w:t>
      </w:r>
      <w:r w:rsidR="006A180F" w:rsidRPr="004D7CC7">
        <w:rPr>
          <w:rFonts w:hint="cs"/>
          <w:rtl/>
        </w:rPr>
        <w:t>.</w:t>
      </w:r>
    </w:p>
    <w:p w:rsidR="006A180F" w:rsidRPr="004D7CC7" w:rsidRDefault="006A180F" w:rsidP="00A615D7">
      <w:pPr>
        <w:pStyle w:val="1"/>
        <w:spacing w:line="240" w:lineRule="exact"/>
        <w:rPr>
          <w:rFonts w:hint="cs"/>
          <w:rtl/>
        </w:rPr>
      </w:pPr>
      <w:r>
        <w:rPr>
          <w:rFonts w:hint="cs"/>
          <w:rtl/>
        </w:rPr>
        <w:tab/>
        <w:t>(4)</w:t>
      </w:r>
      <w:r>
        <w:rPr>
          <w:rFonts w:hint="cs"/>
          <w:rtl/>
        </w:rPr>
        <w:tab/>
        <w:t xml:space="preserve">כמו כן, </w:t>
      </w:r>
      <w:r w:rsidRPr="004D7CC7">
        <w:rPr>
          <w:rtl/>
        </w:rPr>
        <w:t xml:space="preserve">המקרה </w:t>
      </w:r>
      <w:r>
        <w:rPr>
          <w:rFonts w:hint="cs"/>
          <w:rtl/>
        </w:rPr>
        <w:t xml:space="preserve">דנן </w:t>
      </w:r>
      <w:r w:rsidRPr="004D7CC7">
        <w:rPr>
          <w:rtl/>
        </w:rPr>
        <w:t xml:space="preserve">אינו מסוג המקרים </w:t>
      </w:r>
      <w:r>
        <w:rPr>
          <w:rFonts w:hint="cs"/>
          <w:rtl/>
        </w:rPr>
        <w:t>ש</w:t>
      </w:r>
      <w:r w:rsidRPr="004D7CC7">
        <w:rPr>
          <w:rFonts w:hint="eastAsia"/>
          <w:rtl/>
        </w:rPr>
        <w:t>אותם</w:t>
      </w:r>
      <w:r w:rsidRPr="004D7CC7">
        <w:rPr>
          <w:rtl/>
        </w:rPr>
        <w:t xml:space="preserve"> ראוי להחריג מתחולתו של חוק ההגבלים על דרך של פרשנות תכליתית. אדרב</w:t>
      </w:r>
      <w:r w:rsidR="00860B7E">
        <w:rPr>
          <w:rFonts w:hint="cs"/>
          <w:rtl/>
        </w:rPr>
        <w:t>ה</w:t>
      </w:r>
      <w:r w:rsidRPr="004D7CC7">
        <w:rPr>
          <w:rtl/>
        </w:rPr>
        <w:t xml:space="preserve">, הסדרים </w:t>
      </w:r>
      <w:r w:rsidRPr="004D7CC7">
        <w:rPr>
          <w:rFonts w:hint="eastAsia"/>
          <w:rtl/>
        </w:rPr>
        <w:t>מסוג</w:t>
      </w:r>
      <w:r w:rsidRPr="004D7CC7">
        <w:rPr>
          <w:rtl/>
        </w:rPr>
        <w:t xml:space="preserve"> זה הנדון הם בדיוק ההסדרים </w:t>
      </w:r>
      <w:r w:rsidR="00860B7E">
        <w:rPr>
          <w:rFonts w:hint="cs"/>
          <w:rtl/>
        </w:rPr>
        <w:t>ש</w:t>
      </w:r>
      <w:r w:rsidRPr="004D7CC7">
        <w:rPr>
          <w:rtl/>
        </w:rPr>
        <w:t>ביקש המחוקק למנוע</w:t>
      </w:r>
      <w:r w:rsidR="000E680E">
        <w:rPr>
          <w:rFonts w:hint="cs"/>
          <w:rtl/>
        </w:rPr>
        <w:t xml:space="preserve"> (143א – ב)</w:t>
      </w:r>
      <w:r w:rsidRPr="004D7CC7">
        <w:rPr>
          <w:rFonts w:hint="cs"/>
          <w:rtl/>
        </w:rPr>
        <w:t>.</w:t>
      </w:r>
    </w:p>
    <w:p w:rsidR="006A180F" w:rsidRPr="009F5B6A" w:rsidRDefault="006A180F" w:rsidP="00A615D7">
      <w:pPr>
        <w:pStyle w:val="1"/>
        <w:spacing w:line="240" w:lineRule="exact"/>
        <w:rPr>
          <w:rFonts w:hint="cs"/>
          <w:rtl/>
        </w:rPr>
      </w:pPr>
      <w:r w:rsidRPr="009F5B6A">
        <w:rPr>
          <w:rFonts w:hint="cs"/>
          <w:rtl/>
        </w:rPr>
        <w:t>ב.</w:t>
      </w:r>
      <w:r w:rsidRPr="009F5B6A">
        <w:rPr>
          <w:rFonts w:hint="cs"/>
          <w:rtl/>
        </w:rPr>
        <w:tab/>
        <w:t>(1)</w:t>
      </w:r>
      <w:r w:rsidRPr="009F5B6A">
        <w:rPr>
          <w:rFonts w:hint="cs"/>
          <w:rtl/>
        </w:rPr>
        <w:tab/>
      </w:r>
      <w:r w:rsidR="00860B7E" w:rsidRPr="009F5B6A">
        <w:rPr>
          <w:rtl/>
        </w:rPr>
        <w:t xml:space="preserve">אף </w:t>
      </w:r>
      <w:r w:rsidRPr="009F5B6A">
        <w:rPr>
          <w:rtl/>
        </w:rPr>
        <w:t xml:space="preserve">על </w:t>
      </w:r>
      <w:r w:rsidR="00860B7E">
        <w:rPr>
          <w:rFonts w:hint="cs"/>
          <w:rtl/>
        </w:rPr>
        <w:t xml:space="preserve">פי </w:t>
      </w:r>
      <w:r w:rsidRPr="009F5B6A">
        <w:rPr>
          <w:rtl/>
        </w:rPr>
        <w:t xml:space="preserve">שהסייג בדבר "זוטי </w:t>
      </w:r>
      <w:r w:rsidRPr="009F5B6A">
        <w:rPr>
          <w:rFonts w:hint="eastAsia"/>
          <w:rtl/>
        </w:rPr>
        <w:t>דברים</w:t>
      </w:r>
      <w:r w:rsidRPr="009F5B6A">
        <w:rPr>
          <w:rtl/>
        </w:rPr>
        <w:t xml:space="preserve">" אינו מונה רשימה של מקרים הבאים בגדרו, יש </w:t>
      </w:r>
      <w:r w:rsidRPr="009F5B6A">
        <w:rPr>
          <w:rFonts w:hint="eastAsia"/>
          <w:rtl/>
        </w:rPr>
        <w:t>להחילו</w:t>
      </w:r>
      <w:r w:rsidRPr="009F5B6A">
        <w:rPr>
          <w:rtl/>
        </w:rPr>
        <w:t xml:space="preserve"> בזהירות תוך בחינת נסיבותיו של כל מקרה ומקרה. בבואו לבחון מעשה שנתמלאו בו </w:t>
      </w:r>
      <w:r w:rsidRPr="009F5B6A">
        <w:rPr>
          <w:rFonts w:hint="eastAsia"/>
          <w:rtl/>
        </w:rPr>
        <w:t>כל</w:t>
      </w:r>
      <w:r w:rsidRPr="009F5B6A">
        <w:rPr>
          <w:rtl/>
        </w:rPr>
        <w:t xml:space="preserve"> יסודו</w:t>
      </w:r>
      <w:r>
        <w:rPr>
          <w:rtl/>
        </w:rPr>
        <w:t>ת העבירה ישאל בית המשפט את עצמו</w:t>
      </w:r>
      <w:r w:rsidRPr="009F5B6A">
        <w:rPr>
          <w:rtl/>
        </w:rPr>
        <w:t xml:space="preserve"> אם מעשה העבירה הצמיח מידה </w:t>
      </w:r>
      <w:r w:rsidR="00860B7E">
        <w:rPr>
          <w:rFonts w:hint="cs"/>
          <w:rtl/>
        </w:rPr>
        <w:t>מזערית</w:t>
      </w:r>
      <w:r w:rsidRPr="009F5B6A">
        <w:rPr>
          <w:rtl/>
        </w:rPr>
        <w:t xml:space="preserve"> של </w:t>
      </w:r>
      <w:r w:rsidRPr="009F5B6A">
        <w:rPr>
          <w:rFonts w:hint="eastAsia"/>
          <w:rtl/>
        </w:rPr>
        <w:t>סכנה</w:t>
      </w:r>
      <w:r w:rsidRPr="009F5B6A">
        <w:rPr>
          <w:rtl/>
        </w:rPr>
        <w:t xml:space="preserve"> לציבור. תשובה שלילית תחייב את המסקנה שהשפעתו של המעשה על החברה היא כה </w:t>
      </w:r>
      <w:r w:rsidRPr="009F5B6A">
        <w:rPr>
          <w:rFonts w:hint="eastAsia"/>
          <w:rtl/>
        </w:rPr>
        <w:t>מזערית</w:t>
      </w:r>
      <w:r w:rsidRPr="009F5B6A">
        <w:rPr>
          <w:rtl/>
        </w:rPr>
        <w:t>, עד שאין זה ראוי להכתים את מבצעו בהרשעה בפלילים</w:t>
      </w:r>
      <w:r w:rsidR="000E680E">
        <w:rPr>
          <w:rFonts w:hint="cs"/>
          <w:rtl/>
        </w:rPr>
        <w:t xml:space="preserve"> (148ב</w:t>
      </w:r>
      <w:r w:rsidR="006E1444">
        <w:rPr>
          <w:rFonts w:hint="cs"/>
          <w:rtl/>
        </w:rPr>
        <w:t xml:space="preserve"> – ג</w:t>
      </w:r>
      <w:r w:rsidR="000E680E">
        <w:rPr>
          <w:rFonts w:hint="cs"/>
          <w:rtl/>
        </w:rPr>
        <w:t>)</w:t>
      </w:r>
      <w:r w:rsidRPr="009F5B6A">
        <w:rPr>
          <w:rtl/>
        </w:rPr>
        <w:t>.</w:t>
      </w:r>
    </w:p>
    <w:p w:rsidR="006A180F" w:rsidRPr="004D7CC7" w:rsidRDefault="006A180F" w:rsidP="00A615D7">
      <w:pPr>
        <w:pStyle w:val="1"/>
        <w:spacing w:line="240" w:lineRule="exact"/>
        <w:rPr>
          <w:rFonts w:hint="cs"/>
          <w:rtl/>
        </w:rPr>
      </w:pPr>
      <w:r>
        <w:rPr>
          <w:rFonts w:hint="cs"/>
          <w:rtl/>
        </w:rPr>
        <w:tab/>
        <w:t>(2)</w:t>
      </w:r>
      <w:r>
        <w:rPr>
          <w:rFonts w:hint="cs"/>
          <w:rtl/>
        </w:rPr>
        <w:tab/>
      </w:r>
      <w:r w:rsidRPr="009F5B6A">
        <w:rPr>
          <w:rtl/>
        </w:rPr>
        <w:t>נקיטת זהירות בהחלתו של הסייג אינה</w:t>
      </w:r>
      <w:r>
        <w:rPr>
          <w:rtl/>
        </w:rPr>
        <w:t xml:space="preserve"> מונעת</w:t>
      </w:r>
      <w:r w:rsidRPr="009F5B6A">
        <w:rPr>
          <w:rtl/>
        </w:rPr>
        <w:t xml:space="preserve"> פרשנות שתבחן בין מכלול השיקולים גם את נסיבותיו האישיות של המבצע. שכן, יש </w:t>
      </w:r>
      <w:r w:rsidRPr="009F5B6A">
        <w:rPr>
          <w:rFonts w:hint="eastAsia"/>
          <w:rtl/>
        </w:rPr>
        <w:t>והשפעתן</w:t>
      </w:r>
      <w:r w:rsidRPr="009F5B6A">
        <w:rPr>
          <w:rtl/>
        </w:rPr>
        <w:t xml:space="preserve"> של נסיבות אלו תשנה את התמונה מן הקצה אל הקצה, והרשעתו לאורן לא תשרת כל </w:t>
      </w:r>
      <w:r w:rsidRPr="009F5B6A">
        <w:rPr>
          <w:rFonts w:hint="eastAsia"/>
          <w:rtl/>
        </w:rPr>
        <w:t>מטרה</w:t>
      </w:r>
      <w:r w:rsidR="000E680E">
        <w:rPr>
          <w:rtl/>
        </w:rPr>
        <w:t xml:space="preserve"> ראויה</w:t>
      </w:r>
      <w:r w:rsidRPr="009F5B6A">
        <w:rPr>
          <w:rFonts w:hint="cs"/>
          <w:rtl/>
        </w:rPr>
        <w:t xml:space="preserve"> (</w:t>
      </w:r>
      <w:r w:rsidR="000E680E">
        <w:rPr>
          <w:rFonts w:hint="cs"/>
          <w:rtl/>
        </w:rPr>
        <w:t>148ד</w:t>
      </w:r>
      <w:r w:rsidRPr="009F5B6A">
        <w:rPr>
          <w:rFonts w:hint="cs"/>
          <w:rtl/>
        </w:rPr>
        <w:t>).</w:t>
      </w:r>
    </w:p>
    <w:p w:rsidR="006A180F" w:rsidRPr="004D7CC7" w:rsidRDefault="006A180F" w:rsidP="00A615D7">
      <w:pPr>
        <w:pStyle w:val="1"/>
        <w:spacing w:line="240" w:lineRule="exact"/>
        <w:rPr>
          <w:rFonts w:hint="cs"/>
          <w:rtl/>
        </w:rPr>
      </w:pPr>
      <w:r>
        <w:rPr>
          <w:rFonts w:hint="cs"/>
          <w:rtl/>
        </w:rPr>
        <w:tab/>
        <w:t>(3)</w:t>
      </w:r>
      <w:r>
        <w:rPr>
          <w:rFonts w:hint="cs"/>
          <w:rtl/>
        </w:rPr>
        <w:tab/>
      </w:r>
      <w:r w:rsidRPr="004D7CC7">
        <w:rPr>
          <w:rtl/>
        </w:rPr>
        <w:t xml:space="preserve">אין מניעה להחלתו של הסייג בדבר זוטי דברים על </w:t>
      </w:r>
      <w:r w:rsidR="00A7624C" w:rsidRPr="005A31F1">
        <w:rPr>
          <w:rtl/>
        </w:rPr>
        <w:t>חוק ההגבלים העסקיים</w:t>
      </w:r>
      <w:r w:rsidRPr="004D7CC7">
        <w:rPr>
          <w:rtl/>
        </w:rPr>
        <w:t>.</w:t>
      </w:r>
      <w:r>
        <w:rPr>
          <w:rFonts w:hint="cs"/>
          <w:rtl/>
        </w:rPr>
        <w:t xml:space="preserve"> עם זאת, </w:t>
      </w:r>
      <w:r w:rsidRPr="004D7CC7">
        <w:rPr>
          <w:rFonts w:hint="eastAsia"/>
          <w:rtl/>
        </w:rPr>
        <w:t>בחוק</w:t>
      </w:r>
      <w:r w:rsidRPr="004D7CC7">
        <w:rPr>
          <w:rtl/>
        </w:rPr>
        <w:t xml:space="preserve"> ההגבלים מצויות </w:t>
      </w:r>
      <w:r w:rsidR="00860B7E">
        <w:rPr>
          <w:rFonts w:hint="cs"/>
          <w:rtl/>
        </w:rPr>
        <w:t>כמה</w:t>
      </w:r>
      <w:r w:rsidRPr="004D7CC7">
        <w:rPr>
          <w:rtl/>
        </w:rPr>
        <w:t xml:space="preserve"> הוראות </w:t>
      </w:r>
      <w:r w:rsidRPr="004D7CC7">
        <w:rPr>
          <w:rFonts w:hint="eastAsia"/>
          <w:rtl/>
        </w:rPr>
        <w:t>שתפקידן</w:t>
      </w:r>
      <w:r w:rsidRPr="004D7CC7">
        <w:rPr>
          <w:rtl/>
        </w:rPr>
        <w:t xml:space="preserve"> לשמש כמסננות, ומטרתן להוציא</w:t>
      </w:r>
      <w:r>
        <w:rPr>
          <w:rtl/>
        </w:rPr>
        <w:t xml:space="preserve"> מגדרו מעשים שנלכדו ברשתו הרחבה</w:t>
      </w:r>
      <w:r w:rsidRPr="004D7CC7">
        <w:rPr>
          <w:rtl/>
        </w:rPr>
        <w:t xml:space="preserve"> בלי שנתכוון </w:t>
      </w:r>
      <w:r w:rsidRPr="004D7CC7">
        <w:rPr>
          <w:rFonts w:hint="eastAsia"/>
          <w:rtl/>
        </w:rPr>
        <w:t>להם</w:t>
      </w:r>
      <w:r w:rsidRPr="004D7CC7">
        <w:rPr>
          <w:rtl/>
        </w:rPr>
        <w:t xml:space="preserve"> או שההרשעה בגינם לא תשרת כל אינטרס ציבורי.</w:t>
      </w:r>
      <w:r w:rsidRPr="004D7CC7">
        <w:rPr>
          <w:rFonts w:hint="cs"/>
          <w:rtl/>
        </w:rPr>
        <w:t xml:space="preserve"> </w:t>
      </w:r>
      <w:r>
        <w:rPr>
          <w:rFonts w:hint="cs"/>
          <w:rtl/>
        </w:rPr>
        <w:t xml:space="preserve">על כן </w:t>
      </w:r>
      <w:r w:rsidRPr="004D7CC7">
        <w:rPr>
          <w:rtl/>
        </w:rPr>
        <w:t xml:space="preserve">קודם להפעלתו של הסייג </w:t>
      </w:r>
      <w:r w:rsidRPr="004D7CC7">
        <w:rPr>
          <w:rFonts w:hint="eastAsia"/>
          <w:rtl/>
        </w:rPr>
        <w:t>בדבר</w:t>
      </w:r>
      <w:r w:rsidRPr="004D7CC7">
        <w:rPr>
          <w:rtl/>
        </w:rPr>
        <w:t xml:space="preserve"> זוטי דברים יפעיל חוק ההגבלים את המסננות הקבועות בו</w:t>
      </w:r>
      <w:r>
        <w:rPr>
          <w:rFonts w:hint="cs"/>
          <w:rtl/>
        </w:rPr>
        <w:t>,</w:t>
      </w:r>
      <w:r w:rsidRPr="004D7CC7">
        <w:rPr>
          <w:rtl/>
        </w:rPr>
        <w:t xml:space="preserve"> ורק משנעשה כן, יש לבחון </w:t>
      </w:r>
      <w:r w:rsidRPr="004D7CC7">
        <w:rPr>
          <w:rFonts w:hint="eastAsia"/>
          <w:rtl/>
        </w:rPr>
        <w:t>את</w:t>
      </w:r>
      <w:r w:rsidRPr="004D7CC7">
        <w:rPr>
          <w:rtl/>
        </w:rPr>
        <w:t xml:space="preserve"> תחולתו של הסייג.</w:t>
      </w:r>
      <w:r w:rsidRPr="004D7CC7">
        <w:rPr>
          <w:rFonts w:hint="cs"/>
          <w:rtl/>
        </w:rPr>
        <w:t xml:space="preserve"> </w:t>
      </w:r>
      <w:r w:rsidRPr="004D7CC7">
        <w:rPr>
          <w:rtl/>
        </w:rPr>
        <w:t xml:space="preserve">מצב זה עשוי להגביה את המשוכה הניצבת </w:t>
      </w:r>
      <w:r w:rsidRPr="004D7CC7">
        <w:rPr>
          <w:rFonts w:hint="eastAsia"/>
          <w:rtl/>
        </w:rPr>
        <w:t>בפני</w:t>
      </w:r>
      <w:r w:rsidR="000E680E">
        <w:rPr>
          <w:rtl/>
        </w:rPr>
        <w:t xml:space="preserve"> הטוען כי חל עליו סייג זה</w:t>
      </w:r>
      <w:r w:rsidR="000E680E">
        <w:rPr>
          <w:rFonts w:hint="cs"/>
          <w:rtl/>
        </w:rPr>
        <w:t xml:space="preserve"> (149ב – ג, 150ו – ז)</w:t>
      </w:r>
      <w:r w:rsidRPr="004D7CC7">
        <w:rPr>
          <w:rFonts w:hint="cs"/>
          <w:rtl/>
        </w:rPr>
        <w:t>.</w:t>
      </w:r>
    </w:p>
    <w:p w:rsidR="006A180F" w:rsidRDefault="006A180F" w:rsidP="00A615D7">
      <w:pPr>
        <w:pStyle w:val="1"/>
        <w:spacing w:line="240" w:lineRule="exact"/>
        <w:rPr>
          <w:rFonts w:hint="cs"/>
          <w:rtl/>
        </w:rPr>
      </w:pPr>
      <w:r>
        <w:rPr>
          <w:rFonts w:hint="cs"/>
          <w:rtl/>
        </w:rPr>
        <w:tab/>
        <w:t>(4)</w:t>
      </w:r>
      <w:r>
        <w:rPr>
          <w:rFonts w:hint="cs"/>
          <w:rtl/>
        </w:rPr>
        <w:tab/>
        <w:t xml:space="preserve">במקרה דנן אין לקבוע כי </w:t>
      </w:r>
      <w:r w:rsidRPr="004D7CC7">
        <w:rPr>
          <w:rtl/>
        </w:rPr>
        <w:t xml:space="preserve">את ההסדר </w:t>
      </w:r>
      <w:r w:rsidRPr="004D7CC7">
        <w:rPr>
          <w:rFonts w:hint="eastAsia"/>
          <w:rtl/>
        </w:rPr>
        <w:t>הכובל</w:t>
      </w:r>
      <w:r w:rsidRPr="004D7CC7">
        <w:rPr>
          <w:rtl/>
        </w:rPr>
        <w:t xml:space="preserve"> </w:t>
      </w:r>
      <w:r w:rsidR="00860B7E">
        <w:rPr>
          <w:rFonts w:hint="cs"/>
          <w:rtl/>
        </w:rPr>
        <w:t xml:space="preserve">שהחברות </w:t>
      </w:r>
      <w:r w:rsidRPr="004D7CC7">
        <w:rPr>
          <w:rtl/>
        </w:rPr>
        <w:t xml:space="preserve">נתנו </w:t>
      </w:r>
      <w:r w:rsidR="00860B7E">
        <w:rPr>
          <w:rFonts w:hint="cs"/>
          <w:rtl/>
        </w:rPr>
        <w:t xml:space="preserve">לו </w:t>
      </w:r>
      <w:r>
        <w:rPr>
          <w:rtl/>
        </w:rPr>
        <w:t>את ידן</w:t>
      </w:r>
      <w:r w:rsidRPr="004D7CC7">
        <w:rPr>
          <w:rtl/>
        </w:rPr>
        <w:t xml:space="preserve"> </w:t>
      </w:r>
      <w:r w:rsidR="00860B7E" w:rsidRPr="004D7CC7">
        <w:rPr>
          <w:rtl/>
        </w:rPr>
        <w:t xml:space="preserve">היה </w:t>
      </w:r>
      <w:r w:rsidRPr="004D7CC7">
        <w:rPr>
          <w:rtl/>
        </w:rPr>
        <w:t xml:space="preserve">ניתן להגדיר כ"קל ערך" או זוטות, ועל כן </w:t>
      </w:r>
      <w:r w:rsidRPr="004D7CC7">
        <w:rPr>
          <w:rFonts w:hint="eastAsia"/>
          <w:rtl/>
        </w:rPr>
        <w:t>אין</w:t>
      </w:r>
      <w:r w:rsidRPr="004D7CC7">
        <w:rPr>
          <w:rtl/>
        </w:rPr>
        <w:t xml:space="preserve"> המשיבים </w:t>
      </w:r>
      <w:r w:rsidR="00F02886">
        <w:rPr>
          <w:rFonts w:hint="cs"/>
          <w:rtl/>
        </w:rPr>
        <w:t>1 ו</w:t>
      </w:r>
      <w:r w:rsidR="00F02886" w:rsidRPr="00F02886">
        <w:rPr>
          <w:rFonts w:hint="cs"/>
          <w:position w:val="3"/>
          <w:rtl/>
        </w:rPr>
        <w:t>-</w:t>
      </w:r>
      <w:r w:rsidR="00F02886">
        <w:rPr>
          <w:rFonts w:hint="cs"/>
          <w:rtl/>
        </w:rPr>
        <w:t xml:space="preserve">2 </w:t>
      </w:r>
      <w:r w:rsidRPr="004D7CC7">
        <w:rPr>
          <w:rtl/>
        </w:rPr>
        <w:t>יכולים לזכות בפטור מהרשעה מכוח סעיף 34יז ל</w:t>
      </w:r>
      <w:r w:rsidR="00A7624C" w:rsidRPr="005A31F1">
        <w:rPr>
          <w:rtl/>
        </w:rPr>
        <w:t>חוק העונשין</w:t>
      </w:r>
      <w:r w:rsidR="000E680E">
        <w:rPr>
          <w:rFonts w:hint="cs"/>
          <w:rtl/>
        </w:rPr>
        <w:t xml:space="preserve"> (151ז)</w:t>
      </w:r>
      <w:r w:rsidRPr="004D7CC7">
        <w:rPr>
          <w:rtl/>
        </w:rPr>
        <w:t>.</w:t>
      </w:r>
      <w:r w:rsidRPr="004D7CC7">
        <w:rPr>
          <w:rFonts w:hint="cs"/>
          <w:rtl/>
        </w:rPr>
        <w:t xml:space="preserve"> </w:t>
      </w:r>
    </w:p>
    <w:p w:rsidR="00F02886" w:rsidRPr="004D7CC7" w:rsidRDefault="00F02886" w:rsidP="00A615D7">
      <w:pPr>
        <w:pStyle w:val="1"/>
        <w:spacing w:line="240" w:lineRule="exact"/>
        <w:rPr>
          <w:rFonts w:hint="cs"/>
          <w:rtl/>
        </w:rPr>
      </w:pPr>
      <w:r>
        <w:rPr>
          <w:rFonts w:hint="cs"/>
          <w:rtl/>
        </w:rPr>
        <w:tab/>
        <w:t>(5)</w:t>
      </w:r>
      <w:r>
        <w:rPr>
          <w:rFonts w:hint="cs"/>
          <w:rtl/>
        </w:rPr>
        <w:tab/>
      </w:r>
      <w:r w:rsidRPr="00A615D7">
        <w:rPr>
          <w:rFonts w:hint="cs"/>
          <w:spacing w:val="-2"/>
          <w:rtl/>
        </w:rPr>
        <w:t xml:space="preserve">גם </w:t>
      </w:r>
      <w:r w:rsidRPr="00A615D7">
        <w:rPr>
          <w:spacing w:val="-2"/>
          <w:rtl/>
        </w:rPr>
        <w:t xml:space="preserve">מעשיו של </w:t>
      </w:r>
      <w:r w:rsidRPr="00A615D7">
        <w:rPr>
          <w:rFonts w:hint="cs"/>
          <w:spacing w:val="-2"/>
          <w:rtl/>
        </w:rPr>
        <w:t xml:space="preserve">המשיב 3 אינם </w:t>
      </w:r>
      <w:r w:rsidRPr="00A615D7">
        <w:rPr>
          <w:spacing w:val="-2"/>
          <w:rtl/>
        </w:rPr>
        <w:t xml:space="preserve">נכנסים לגדרם של </w:t>
      </w:r>
      <w:r w:rsidRPr="00A615D7">
        <w:rPr>
          <w:rFonts w:hint="cs"/>
          <w:spacing w:val="-2"/>
          <w:rtl/>
        </w:rPr>
        <w:t>ה</w:t>
      </w:r>
      <w:r w:rsidRPr="00A615D7">
        <w:rPr>
          <w:spacing w:val="-2"/>
          <w:rtl/>
        </w:rPr>
        <w:t xml:space="preserve">מקרים </w:t>
      </w:r>
      <w:r w:rsidRPr="00A615D7">
        <w:rPr>
          <w:rFonts w:hint="cs"/>
          <w:spacing w:val="-2"/>
          <w:rtl/>
        </w:rPr>
        <w:t xml:space="preserve">החריגים שבהם יופעל </w:t>
      </w:r>
      <w:r w:rsidRPr="00A615D7">
        <w:rPr>
          <w:spacing w:val="-2"/>
          <w:rtl/>
        </w:rPr>
        <w:t>הסייג</w:t>
      </w:r>
      <w:r w:rsidR="00A615D7">
        <w:rPr>
          <w:rFonts w:hint="cs"/>
          <w:spacing w:val="-2"/>
          <w:rtl/>
        </w:rPr>
        <w:t xml:space="preserve"> </w:t>
      </w:r>
      <w:r w:rsidRPr="00A615D7">
        <w:rPr>
          <w:spacing w:val="-2"/>
          <w:rtl/>
        </w:rPr>
        <w:t>בדבר זוטי דברים</w:t>
      </w:r>
      <w:r w:rsidRPr="00A615D7">
        <w:rPr>
          <w:rFonts w:hint="cs"/>
          <w:spacing w:val="-2"/>
          <w:rtl/>
        </w:rPr>
        <w:t>.</w:t>
      </w:r>
      <w:r w:rsidRPr="00A615D7">
        <w:rPr>
          <w:spacing w:val="-2"/>
          <w:rtl/>
        </w:rPr>
        <w:t xml:space="preserve"> </w:t>
      </w:r>
      <w:r w:rsidRPr="00A615D7">
        <w:rPr>
          <w:rFonts w:hint="eastAsia"/>
          <w:spacing w:val="-2"/>
          <w:rtl/>
        </w:rPr>
        <w:t>אף</w:t>
      </w:r>
      <w:r w:rsidRPr="00A615D7">
        <w:rPr>
          <w:spacing w:val="-2"/>
          <w:rtl/>
        </w:rPr>
        <w:t xml:space="preserve"> אם במעשיו לא סייע בגיבושו של ההסדר הכובל, יוחד לו תפקיד מרכזי בהוצאתו אל </w:t>
      </w:r>
      <w:r w:rsidRPr="00A615D7">
        <w:rPr>
          <w:rFonts w:hint="eastAsia"/>
          <w:spacing w:val="-2"/>
          <w:rtl/>
        </w:rPr>
        <w:t>הפועל</w:t>
      </w:r>
      <w:r w:rsidRPr="00A615D7">
        <w:rPr>
          <w:spacing w:val="-2"/>
          <w:rtl/>
        </w:rPr>
        <w:t xml:space="preserve"> ו</w:t>
      </w:r>
      <w:r w:rsidRPr="00A615D7">
        <w:rPr>
          <w:rFonts w:hint="cs"/>
          <w:spacing w:val="-2"/>
          <w:rtl/>
        </w:rPr>
        <w:t>ב</w:t>
      </w:r>
      <w:r w:rsidRPr="00A615D7">
        <w:rPr>
          <w:spacing w:val="-2"/>
          <w:rtl/>
        </w:rPr>
        <w:t xml:space="preserve">אכיפתו במישור היחסים שבין </w:t>
      </w:r>
      <w:r w:rsidRPr="00A615D7">
        <w:rPr>
          <w:rFonts w:hint="cs"/>
          <w:spacing w:val="-2"/>
          <w:rtl/>
        </w:rPr>
        <w:t>החברות</w:t>
      </w:r>
      <w:r w:rsidR="00A944DE" w:rsidRPr="00A615D7">
        <w:rPr>
          <w:rFonts w:hint="cs"/>
          <w:spacing w:val="-2"/>
          <w:rtl/>
        </w:rPr>
        <w:t xml:space="preserve"> (155ב</w:t>
      </w:r>
      <w:r w:rsidR="008F6814" w:rsidRPr="00A615D7">
        <w:rPr>
          <w:rFonts w:hint="cs"/>
          <w:spacing w:val="-2"/>
          <w:rtl/>
        </w:rPr>
        <w:t xml:space="preserve"> </w:t>
      </w:r>
      <w:r w:rsidR="008F6814" w:rsidRPr="00A615D7">
        <w:rPr>
          <w:rFonts w:hint="eastAsia"/>
          <w:spacing w:val="-2"/>
          <w:rtl/>
        </w:rPr>
        <w:t xml:space="preserve">– </w:t>
      </w:r>
      <w:r w:rsidR="00A944DE" w:rsidRPr="00A615D7">
        <w:rPr>
          <w:rFonts w:hint="cs"/>
          <w:spacing w:val="-2"/>
          <w:rtl/>
        </w:rPr>
        <w:t>ג)</w:t>
      </w:r>
      <w:r w:rsidRPr="00A615D7">
        <w:rPr>
          <w:rFonts w:hint="cs"/>
          <w:spacing w:val="-2"/>
          <w:rtl/>
        </w:rPr>
        <w:t>.</w:t>
      </w:r>
    </w:p>
    <w:p w:rsidR="006A180F" w:rsidRDefault="006A180F" w:rsidP="00A615D7">
      <w:pPr>
        <w:pStyle w:val="1"/>
        <w:spacing w:line="240" w:lineRule="exact"/>
        <w:rPr>
          <w:rFonts w:hint="cs"/>
          <w:rtl/>
        </w:rPr>
      </w:pPr>
      <w:r>
        <w:rPr>
          <w:rFonts w:hint="cs"/>
          <w:rtl/>
        </w:rPr>
        <w:t>ג.</w:t>
      </w:r>
      <w:r>
        <w:rPr>
          <w:rFonts w:hint="cs"/>
          <w:rtl/>
        </w:rPr>
        <w:tab/>
        <w:t>(1)</w:t>
      </w:r>
      <w:r>
        <w:rPr>
          <w:rFonts w:hint="cs"/>
          <w:rtl/>
        </w:rPr>
        <w:tab/>
      </w:r>
      <w:r w:rsidR="00F02886" w:rsidRPr="004D7CC7">
        <w:rPr>
          <w:rtl/>
        </w:rPr>
        <w:t xml:space="preserve">ההגנה בסעיף 34כ </w:t>
      </w:r>
      <w:r w:rsidR="00F02886">
        <w:rPr>
          <w:rFonts w:hint="cs"/>
          <w:rtl/>
        </w:rPr>
        <w:t>ל</w:t>
      </w:r>
      <w:r w:rsidR="00A7624C" w:rsidRPr="005A31F1">
        <w:rPr>
          <w:rtl/>
        </w:rPr>
        <w:t>חוק העונשין</w:t>
      </w:r>
      <w:r w:rsidR="00F02886">
        <w:rPr>
          <w:rFonts w:hint="cs"/>
          <w:rtl/>
        </w:rPr>
        <w:t xml:space="preserve"> </w:t>
      </w:r>
      <w:r w:rsidR="00A944DE">
        <w:rPr>
          <w:rFonts w:hint="cs"/>
          <w:rtl/>
        </w:rPr>
        <w:t>היא</w:t>
      </w:r>
      <w:r w:rsidR="00F02886" w:rsidRPr="004D7CC7">
        <w:rPr>
          <w:rtl/>
        </w:rPr>
        <w:t xml:space="preserve"> סייג </w:t>
      </w:r>
      <w:r w:rsidR="00F02886" w:rsidRPr="004D7CC7">
        <w:rPr>
          <w:rFonts w:hint="eastAsia"/>
          <w:rtl/>
        </w:rPr>
        <w:t>לאחריות</w:t>
      </w:r>
      <w:r w:rsidR="00F02886" w:rsidRPr="004D7CC7">
        <w:rPr>
          <w:rtl/>
        </w:rPr>
        <w:t xml:space="preserve"> הפלילית, ומטבע הדברים נעשית פרשנותם של סייגים אלה על דרך הצמצום. החלתה </w:t>
      </w:r>
      <w:r w:rsidR="00F02886" w:rsidRPr="004D7CC7">
        <w:rPr>
          <w:rFonts w:hint="eastAsia"/>
          <w:rtl/>
        </w:rPr>
        <w:t>של</w:t>
      </w:r>
      <w:r w:rsidR="00F02886" w:rsidRPr="004D7CC7">
        <w:rPr>
          <w:rtl/>
        </w:rPr>
        <w:t xml:space="preserve"> ה"ה</w:t>
      </w:r>
      <w:r w:rsidR="00F02886">
        <w:rPr>
          <w:rtl/>
        </w:rPr>
        <w:t>גנה על רשות שופטת" גם על בוררים</w:t>
      </w:r>
      <w:r w:rsidR="00F02886" w:rsidRPr="004D7CC7">
        <w:rPr>
          <w:rtl/>
        </w:rPr>
        <w:t xml:space="preserve"> עלולה להביא לפריצתו של הסייג באופן שאינו </w:t>
      </w:r>
      <w:r w:rsidR="00F02886" w:rsidRPr="004D7CC7">
        <w:rPr>
          <w:rFonts w:hint="eastAsia"/>
          <w:rtl/>
        </w:rPr>
        <w:t>עולה</w:t>
      </w:r>
      <w:r w:rsidR="00F02886" w:rsidRPr="004D7CC7">
        <w:rPr>
          <w:rtl/>
        </w:rPr>
        <w:t xml:space="preserve"> בקנה אחד עם הפרשנות שיש ליתן לחריגים מסוגו.</w:t>
      </w:r>
      <w:r w:rsidR="00F02886">
        <w:rPr>
          <w:rFonts w:hint="cs"/>
          <w:rtl/>
        </w:rPr>
        <w:t xml:space="preserve"> על כן, </w:t>
      </w:r>
      <w:r w:rsidR="00F02886" w:rsidRPr="004D7CC7">
        <w:rPr>
          <w:rtl/>
        </w:rPr>
        <w:t>אין להרחיב את תחולתו של סעיף 34כ למי שאינו נמנה ע</w:t>
      </w:r>
      <w:r w:rsidR="00A944DE">
        <w:rPr>
          <w:rFonts w:hint="cs"/>
          <w:rtl/>
        </w:rPr>
        <w:t>ל</w:t>
      </w:r>
      <w:r w:rsidR="00F02886" w:rsidRPr="004D7CC7">
        <w:rPr>
          <w:rtl/>
        </w:rPr>
        <w:t xml:space="preserve"> הרשות </w:t>
      </w:r>
      <w:r w:rsidR="00F02886" w:rsidRPr="004D7CC7">
        <w:rPr>
          <w:rFonts w:hint="eastAsia"/>
          <w:rtl/>
        </w:rPr>
        <w:t>השופטת</w:t>
      </w:r>
      <w:r w:rsidR="00F02886">
        <w:rPr>
          <w:rFonts w:hint="cs"/>
          <w:rtl/>
        </w:rPr>
        <w:t xml:space="preserve"> (157ז </w:t>
      </w:r>
      <w:r w:rsidR="00F02886">
        <w:rPr>
          <w:rtl/>
        </w:rPr>
        <w:t>–</w:t>
      </w:r>
      <w:r w:rsidR="00F02886">
        <w:rPr>
          <w:rFonts w:hint="cs"/>
          <w:rtl/>
        </w:rPr>
        <w:t xml:space="preserve"> 159ב)</w:t>
      </w:r>
      <w:r w:rsidRPr="004D7CC7">
        <w:rPr>
          <w:rFonts w:hint="cs"/>
          <w:rtl/>
        </w:rPr>
        <w:t>.</w:t>
      </w:r>
    </w:p>
    <w:p w:rsidR="006A180F" w:rsidRPr="004D7CC7" w:rsidRDefault="006A180F" w:rsidP="008F6814">
      <w:pPr>
        <w:pStyle w:val="1"/>
        <w:spacing w:line="248" w:lineRule="exact"/>
        <w:rPr>
          <w:rFonts w:hint="cs"/>
          <w:rtl/>
        </w:rPr>
      </w:pPr>
      <w:r>
        <w:rPr>
          <w:rFonts w:hint="cs"/>
          <w:rtl/>
        </w:rPr>
        <w:tab/>
        <w:t>(2)</w:t>
      </w:r>
      <w:r>
        <w:rPr>
          <w:rFonts w:hint="cs"/>
          <w:rtl/>
        </w:rPr>
        <w:tab/>
      </w:r>
      <w:r w:rsidR="008F6814">
        <w:rPr>
          <w:rFonts w:hint="cs"/>
          <w:rtl/>
        </w:rPr>
        <w:t xml:space="preserve">אף אם הסעיף היה חל </w:t>
      </w:r>
      <w:r w:rsidR="008F6814" w:rsidRPr="004D7CC7">
        <w:rPr>
          <w:rtl/>
        </w:rPr>
        <w:t xml:space="preserve">על בוררים, בנסיבותיו של </w:t>
      </w:r>
      <w:r w:rsidR="008F6814" w:rsidRPr="004D7CC7">
        <w:rPr>
          <w:rFonts w:hint="eastAsia"/>
          <w:rtl/>
        </w:rPr>
        <w:t>המקרה</w:t>
      </w:r>
      <w:r w:rsidR="008F6814" w:rsidRPr="004D7CC7">
        <w:rPr>
          <w:rtl/>
        </w:rPr>
        <w:t xml:space="preserve"> </w:t>
      </w:r>
      <w:r w:rsidR="008F6814">
        <w:rPr>
          <w:rFonts w:hint="cs"/>
          <w:rtl/>
        </w:rPr>
        <w:t xml:space="preserve">דנן </w:t>
      </w:r>
      <w:r w:rsidR="008F6814" w:rsidRPr="004D7CC7">
        <w:rPr>
          <w:rtl/>
        </w:rPr>
        <w:t xml:space="preserve">לא היה מקום להחיל אותו על </w:t>
      </w:r>
      <w:r w:rsidR="008F6814">
        <w:rPr>
          <w:rFonts w:hint="cs"/>
          <w:rtl/>
        </w:rPr>
        <w:t>ה</w:t>
      </w:r>
      <w:r w:rsidR="008F6814" w:rsidRPr="004D7CC7">
        <w:rPr>
          <w:rtl/>
        </w:rPr>
        <w:t>משיב 3</w:t>
      </w:r>
      <w:r w:rsidR="0082305B">
        <w:rPr>
          <w:rFonts w:hint="cs"/>
          <w:rtl/>
        </w:rPr>
        <w:t xml:space="preserve"> (15</w:t>
      </w:r>
      <w:r w:rsidR="008F6814">
        <w:rPr>
          <w:rFonts w:hint="cs"/>
          <w:rtl/>
        </w:rPr>
        <w:t>9ד</w:t>
      </w:r>
      <w:r w:rsidR="0082305B">
        <w:rPr>
          <w:rFonts w:hint="cs"/>
          <w:rtl/>
        </w:rPr>
        <w:t xml:space="preserve"> – </w:t>
      </w:r>
      <w:r w:rsidR="008F6814">
        <w:rPr>
          <w:rFonts w:hint="cs"/>
          <w:rtl/>
        </w:rPr>
        <w:t>ה</w:t>
      </w:r>
      <w:r w:rsidR="0082305B">
        <w:rPr>
          <w:rFonts w:hint="cs"/>
          <w:rtl/>
        </w:rPr>
        <w:t>)</w:t>
      </w:r>
      <w:r w:rsidRPr="004D7CC7">
        <w:rPr>
          <w:rtl/>
        </w:rPr>
        <w:t>.</w:t>
      </w:r>
      <w:r w:rsidRPr="004D7CC7">
        <w:rPr>
          <w:rFonts w:hint="cs"/>
          <w:rtl/>
        </w:rPr>
        <w:t xml:space="preserve"> </w:t>
      </w:r>
    </w:p>
    <w:p w:rsidR="00A974EF" w:rsidRDefault="00CD5C20" w:rsidP="00FB29D2">
      <w:pPr>
        <w:pStyle w:val="1"/>
        <w:spacing w:line="248" w:lineRule="exact"/>
        <w:ind w:left="340" w:hanging="340"/>
        <w:rPr>
          <w:rFonts w:hint="cs"/>
          <w:rtl/>
        </w:rPr>
      </w:pPr>
      <w:r>
        <w:rPr>
          <w:rtl/>
        </w:rPr>
        <w:br w:type="page"/>
      </w:r>
      <w:r w:rsidR="00A974EF">
        <w:rPr>
          <w:rFonts w:hint="cs"/>
          <w:rtl/>
        </w:rPr>
        <w:lastRenderedPageBreak/>
        <w:t>ד.</w:t>
      </w:r>
      <w:r w:rsidR="00A974EF">
        <w:rPr>
          <w:rFonts w:hint="cs"/>
          <w:rtl/>
        </w:rPr>
        <w:tab/>
      </w:r>
      <w:r w:rsidR="00A974EF" w:rsidRPr="004D7CC7">
        <w:rPr>
          <w:rtl/>
        </w:rPr>
        <w:t xml:space="preserve">הדרישה ליסוד הנפשי </w:t>
      </w:r>
      <w:r w:rsidR="00A974EF">
        <w:rPr>
          <w:rFonts w:hint="cs"/>
          <w:rtl/>
        </w:rPr>
        <w:t xml:space="preserve">בעבירת הסיוע </w:t>
      </w:r>
      <w:r w:rsidR="00A974EF" w:rsidRPr="004D7CC7">
        <w:rPr>
          <w:rtl/>
        </w:rPr>
        <w:t xml:space="preserve">באה על סיפוקה בעצם מודעותו של המסייע לטיב </w:t>
      </w:r>
      <w:r w:rsidR="00A974EF" w:rsidRPr="004D7CC7">
        <w:rPr>
          <w:rFonts w:hint="eastAsia"/>
          <w:rtl/>
        </w:rPr>
        <w:t>התנהגותו</w:t>
      </w:r>
      <w:r w:rsidR="00A974EF">
        <w:rPr>
          <w:rFonts w:hint="cs"/>
          <w:rtl/>
        </w:rPr>
        <w:t xml:space="preserve"> ו</w:t>
      </w:r>
      <w:r w:rsidR="00A974EF">
        <w:rPr>
          <w:rtl/>
        </w:rPr>
        <w:t>לנסיבות</w:t>
      </w:r>
      <w:r w:rsidR="00A974EF" w:rsidRPr="004D7CC7">
        <w:rPr>
          <w:rtl/>
        </w:rPr>
        <w:t xml:space="preserve"> ובמטרתו להגיש עזרה למבצע העיקרי. גם אם המטרה לא עמדה </w:t>
      </w:r>
      <w:r w:rsidR="00A974EF" w:rsidRPr="004D7CC7">
        <w:rPr>
          <w:rFonts w:hint="eastAsia"/>
          <w:rtl/>
        </w:rPr>
        <w:t>לנגד</w:t>
      </w:r>
      <w:r w:rsidR="00A974EF" w:rsidRPr="004D7CC7">
        <w:rPr>
          <w:rtl/>
        </w:rPr>
        <w:t xml:space="preserve"> עיניו של המסייע, הרי שדי במודעות לכך שהתנהגותו עשויה</w:t>
      </w:r>
      <w:r w:rsidR="00A974EF">
        <w:rPr>
          <w:rFonts w:hint="cs"/>
          <w:rtl/>
        </w:rPr>
        <w:t>,</w:t>
      </w:r>
      <w:r w:rsidR="00A974EF" w:rsidRPr="004D7CC7">
        <w:rPr>
          <w:rtl/>
        </w:rPr>
        <w:t xml:space="preserve"> ברמת הסתברות של ודאות </w:t>
      </w:r>
      <w:r w:rsidR="00A974EF" w:rsidRPr="004D7CC7">
        <w:rPr>
          <w:rFonts w:hint="eastAsia"/>
          <w:rtl/>
        </w:rPr>
        <w:t>קרובה</w:t>
      </w:r>
      <w:r w:rsidR="00A974EF">
        <w:rPr>
          <w:rFonts w:hint="cs"/>
          <w:rtl/>
        </w:rPr>
        <w:t>,</w:t>
      </w:r>
      <w:r w:rsidR="00A974EF" w:rsidRPr="004D7CC7">
        <w:rPr>
          <w:rtl/>
        </w:rPr>
        <w:t xml:space="preserve"> לה</w:t>
      </w:r>
      <w:r w:rsidR="00FB29D2">
        <w:rPr>
          <w:rFonts w:hint="cs"/>
          <w:rtl/>
        </w:rPr>
        <w:t>י</w:t>
      </w:r>
      <w:r w:rsidR="00A974EF" w:rsidRPr="004D7CC7">
        <w:rPr>
          <w:rtl/>
        </w:rPr>
        <w:t>ות אמצעי ע</w:t>
      </w:r>
      <w:r w:rsidR="00A974EF">
        <w:rPr>
          <w:rtl/>
        </w:rPr>
        <w:t>זר למבצע העיקרי. מודעות מסוג זה</w:t>
      </w:r>
      <w:r w:rsidR="00A974EF" w:rsidRPr="004D7CC7">
        <w:rPr>
          <w:rtl/>
        </w:rPr>
        <w:t xml:space="preserve"> שקולה כנגד המטרה לסייע </w:t>
      </w:r>
      <w:r w:rsidR="00A974EF" w:rsidRPr="004D7CC7">
        <w:rPr>
          <w:rFonts w:hint="eastAsia"/>
          <w:rtl/>
        </w:rPr>
        <w:t>הנדרשת</w:t>
      </w:r>
      <w:r w:rsidR="00A974EF" w:rsidRPr="004D7CC7">
        <w:rPr>
          <w:rtl/>
        </w:rPr>
        <w:t xml:space="preserve"> בהוראת הסיוע</w:t>
      </w:r>
      <w:r w:rsidR="00A974EF" w:rsidRPr="004D7CC7">
        <w:rPr>
          <w:rFonts w:hint="cs"/>
          <w:rtl/>
        </w:rPr>
        <w:t xml:space="preserve">. </w:t>
      </w:r>
      <w:r w:rsidR="00A974EF">
        <w:rPr>
          <w:rFonts w:hint="cs"/>
          <w:rtl/>
        </w:rPr>
        <w:t xml:space="preserve">במקרה דנן, </w:t>
      </w:r>
      <w:r w:rsidR="00A974EF" w:rsidRPr="004D7CC7">
        <w:rPr>
          <w:rtl/>
        </w:rPr>
        <w:t>נתקיימו במשיב 3 יסודותיה של עבירת הסיוע</w:t>
      </w:r>
      <w:r w:rsidR="00A974EF">
        <w:rPr>
          <w:rFonts w:hint="cs"/>
          <w:rtl/>
        </w:rPr>
        <w:t xml:space="preserve"> </w:t>
      </w:r>
      <w:r w:rsidR="00A974EF">
        <w:rPr>
          <w:rtl/>
        </w:rPr>
        <w:br/>
      </w:r>
      <w:r w:rsidR="00A974EF">
        <w:rPr>
          <w:rFonts w:hint="cs"/>
          <w:rtl/>
        </w:rPr>
        <w:t>(153ב – ד, 154ג – ד)</w:t>
      </w:r>
      <w:r w:rsidR="00A974EF" w:rsidRPr="004D7CC7">
        <w:rPr>
          <w:rtl/>
        </w:rPr>
        <w:t>.</w:t>
      </w:r>
    </w:p>
    <w:p w:rsidR="008A62E1" w:rsidRPr="00A615D7" w:rsidRDefault="008F6814" w:rsidP="00A615D7">
      <w:pPr>
        <w:pStyle w:val="1"/>
        <w:spacing w:line="248" w:lineRule="exact"/>
        <w:ind w:left="340" w:hanging="340"/>
        <w:rPr>
          <w:rFonts w:hint="cs"/>
          <w:spacing w:val="-2"/>
          <w:rtl/>
        </w:rPr>
      </w:pPr>
      <w:r>
        <w:rPr>
          <w:rFonts w:hint="cs"/>
          <w:rtl/>
        </w:rPr>
        <w:t>ה</w:t>
      </w:r>
      <w:r w:rsidR="006A180F">
        <w:rPr>
          <w:rFonts w:hint="cs"/>
          <w:rtl/>
        </w:rPr>
        <w:t>.</w:t>
      </w:r>
      <w:r w:rsidR="006A180F">
        <w:rPr>
          <w:rFonts w:hint="cs"/>
          <w:rtl/>
        </w:rPr>
        <w:tab/>
      </w:r>
      <w:r w:rsidR="006A180F" w:rsidRPr="00A615D7">
        <w:rPr>
          <w:rFonts w:hint="cs"/>
          <w:spacing w:val="-2"/>
          <w:rtl/>
        </w:rPr>
        <w:t>לפיכך, יש לקבל את הערעור ו</w:t>
      </w:r>
      <w:r w:rsidR="006A180F" w:rsidRPr="00A615D7">
        <w:rPr>
          <w:spacing w:val="-2"/>
          <w:rtl/>
        </w:rPr>
        <w:t xml:space="preserve">להרשיע את המשיבים </w:t>
      </w:r>
      <w:r w:rsidR="006A180F" w:rsidRPr="00A615D7">
        <w:rPr>
          <w:rFonts w:hint="eastAsia"/>
          <w:spacing w:val="-2"/>
          <w:rtl/>
        </w:rPr>
        <w:t>בעבירה</w:t>
      </w:r>
      <w:r w:rsidR="006A180F" w:rsidRPr="00A615D7">
        <w:rPr>
          <w:spacing w:val="-2"/>
          <w:rtl/>
        </w:rPr>
        <w:t xml:space="preserve"> לפי סעיף 47(א)(1) בשילוב עם </w:t>
      </w:r>
      <w:r w:rsidR="006A180F" w:rsidRPr="00A615D7">
        <w:rPr>
          <w:rFonts w:hint="eastAsia"/>
          <w:rtl/>
        </w:rPr>
        <w:t>סעיף</w:t>
      </w:r>
      <w:r w:rsidR="006A180F" w:rsidRPr="00A615D7">
        <w:rPr>
          <w:rtl/>
        </w:rPr>
        <w:t xml:space="preserve"> 2(ב)(3)</w:t>
      </w:r>
      <w:r w:rsidR="006A180F" w:rsidRPr="00A615D7">
        <w:rPr>
          <w:rFonts w:hint="cs"/>
          <w:rtl/>
        </w:rPr>
        <w:t xml:space="preserve"> לחוק</w:t>
      </w:r>
      <w:r w:rsidR="00860B7E" w:rsidRPr="00A615D7">
        <w:rPr>
          <w:rFonts w:hint="cs"/>
          <w:rtl/>
        </w:rPr>
        <w:t xml:space="preserve"> ההגבלים</w:t>
      </w:r>
      <w:r w:rsidR="006A180F" w:rsidRPr="00A615D7">
        <w:rPr>
          <w:rtl/>
        </w:rPr>
        <w:t xml:space="preserve">, </w:t>
      </w:r>
      <w:r w:rsidR="00860B7E" w:rsidRPr="00A615D7">
        <w:rPr>
          <w:rFonts w:hint="cs"/>
          <w:rtl/>
        </w:rPr>
        <w:t>ואשר</w:t>
      </w:r>
      <w:r w:rsidR="006A180F" w:rsidRPr="00A615D7">
        <w:rPr>
          <w:rtl/>
        </w:rPr>
        <w:t xml:space="preserve"> למשיב 2 </w:t>
      </w:r>
      <w:r w:rsidR="00860B7E" w:rsidRPr="00A615D7">
        <w:rPr>
          <w:rFonts w:hint="cs"/>
          <w:rtl/>
        </w:rPr>
        <w:t xml:space="preserve">– </w:t>
      </w:r>
      <w:r w:rsidR="006A180F" w:rsidRPr="00A615D7">
        <w:rPr>
          <w:rtl/>
        </w:rPr>
        <w:t xml:space="preserve">בשילוב גם עם סעיף 48 לחוק. </w:t>
      </w:r>
      <w:r w:rsidR="006A180F" w:rsidRPr="00A615D7">
        <w:rPr>
          <w:rFonts w:hint="cs"/>
          <w:rtl/>
        </w:rPr>
        <w:t xml:space="preserve">יש </w:t>
      </w:r>
      <w:r w:rsidR="006A180F" w:rsidRPr="00A615D7">
        <w:rPr>
          <w:rtl/>
        </w:rPr>
        <w:t xml:space="preserve">להחזיר את הדיון לבית המשפט המחוזי לצורך קיומם של </w:t>
      </w:r>
      <w:r w:rsidR="006A180F" w:rsidRPr="00A615D7">
        <w:rPr>
          <w:rFonts w:hint="eastAsia"/>
          <w:rtl/>
        </w:rPr>
        <w:t>ההליכים</w:t>
      </w:r>
      <w:r w:rsidR="006A180F" w:rsidRPr="00A615D7">
        <w:rPr>
          <w:rtl/>
        </w:rPr>
        <w:t xml:space="preserve"> לעניין גזר הדין</w:t>
      </w:r>
      <w:r w:rsidR="006E1444" w:rsidRPr="00A615D7">
        <w:rPr>
          <w:rFonts w:hint="cs"/>
          <w:rtl/>
        </w:rPr>
        <w:t xml:space="preserve"> (160ב – ג)</w:t>
      </w:r>
      <w:r w:rsidR="006A180F" w:rsidRPr="00A615D7">
        <w:rPr>
          <w:rtl/>
        </w:rPr>
        <w:t>.</w:t>
      </w:r>
    </w:p>
    <w:p w:rsidR="00A974EF" w:rsidRDefault="00A974EF" w:rsidP="00FB29D2">
      <w:pPr>
        <w:pStyle w:val="1"/>
        <w:spacing w:line="248" w:lineRule="exact"/>
        <w:ind w:left="340" w:hanging="340"/>
        <w:rPr>
          <w:rFonts w:hint="cs"/>
          <w:rtl/>
        </w:rPr>
      </w:pPr>
      <w:r>
        <w:rPr>
          <w:rFonts w:hint="cs"/>
          <w:rtl/>
        </w:rPr>
        <w:t xml:space="preserve">ו. </w:t>
      </w:r>
      <w:r w:rsidR="00A615D7">
        <w:rPr>
          <w:rFonts w:hint="cs"/>
          <w:rtl/>
        </w:rPr>
        <w:tab/>
      </w:r>
      <w:r>
        <w:rPr>
          <w:rFonts w:hint="cs"/>
          <w:rtl/>
        </w:rPr>
        <w:t xml:space="preserve">(אליבא </w:t>
      </w:r>
      <w:r w:rsidRPr="00A974EF">
        <w:rPr>
          <w:rFonts w:hint="cs"/>
          <w:rtl/>
        </w:rPr>
        <w:t>ד</w:t>
      </w:r>
      <w:r w:rsidRPr="00FB29D2">
        <w:rPr>
          <w:rFonts w:cs="Miriam" w:hint="cs"/>
          <w:szCs w:val="18"/>
          <w:rtl/>
        </w:rPr>
        <w:t>שופטת א' חיות</w:t>
      </w:r>
      <w:r>
        <w:rPr>
          <w:rFonts w:hint="cs"/>
          <w:rtl/>
        </w:rPr>
        <w:t>):</w:t>
      </w:r>
      <w:r w:rsidR="00FB29D2">
        <w:rPr>
          <w:rFonts w:hint="cs"/>
          <w:rtl/>
        </w:rPr>
        <w:t xml:space="preserve"> </w:t>
      </w:r>
      <w:r>
        <w:rPr>
          <w:rtl/>
        </w:rPr>
        <w:t xml:space="preserve">אין מקום לקביעה נחרצת </w:t>
      </w:r>
      <w:r>
        <w:rPr>
          <w:rFonts w:hint="cs"/>
          <w:rtl/>
        </w:rPr>
        <w:t>ש</w:t>
      </w:r>
      <w:r>
        <w:rPr>
          <w:rtl/>
        </w:rPr>
        <w:t xml:space="preserve">לפיה הסייג </w:t>
      </w:r>
      <w:r>
        <w:rPr>
          <w:rFonts w:hint="eastAsia"/>
          <w:rtl/>
        </w:rPr>
        <w:t>בדבר</w:t>
      </w:r>
      <w:r>
        <w:rPr>
          <w:rtl/>
        </w:rPr>
        <w:t xml:space="preserve"> זוטי</w:t>
      </w:r>
      <w:r>
        <w:rPr>
          <w:rFonts w:hint="cs"/>
          <w:rtl/>
        </w:rPr>
        <w:t xml:space="preserve"> </w:t>
      </w:r>
      <w:r>
        <w:rPr>
          <w:rtl/>
        </w:rPr>
        <w:t xml:space="preserve">דברים לעולם לא יחול מקום שההסדר </w:t>
      </w:r>
      <w:r>
        <w:rPr>
          <w:rFonts w:hint="cs"/>
          <w:rtl/>
        </w:rPr>
        <w:t>מושא</w:t>
      </w:r>
      <w:r>
        <w:rPr>
          <w:rtl/>
        </w:rPr>
        <w:t xml:space="preserve"> העבירה בא בגדר החזקות החלוטות </w:t>
      </w:r>
      <w:r>
        <w:rPr>
          <w:rFonts w:hint="eastAsia"/>
          <w:rtl/>
        </w:rPr>
        <w:t>שבסעיף</w:t>
      </w:r>
      <w:r>
        <w:rPr>
          <w:rtl/>
        </w:rPr>
        <w:t xml:space="preserve"> 2(ב) לחוק</w:t>
      </w:r>
      <w:r>
        <w:rPr>
          <w:rFonts w:hint="cs"/>
          <w:rtl/>
        </w:rPr>
        <w:t xml:space="preserve"> (161ג – ד).</w:t>
      </w:r>
    </w:p>
    <w:p w:rsidR="008A62E1" w:rsidRDefault="008A62E1" w:rsidP="00A615D7">
      <w:pPr>
        <w:pStyle w:val="a1"/>
        <w:spacing w:before="180" w:after="30" w:line="250" w:lineRule="exact"/>
        <w:rPr>
          <w:rtl/>
        </w:rPr>
      </w:pPr>
      <w:r>
        <w:rPr>
          <w:rtl/>
        </w:rPr>
        <w:t>חוקי יסוד שאוזכרו:</w:t>
      </w:r>
    </w:p>
    <w:p w:rsidR="008A62E1" w:rsidRDefault="008A62E1" w:rsidP="00A615D7">
      <w:pPr>
        <w:pStyle w:val="a1"/>
        <w:spacing w:after="30" w:line="250" w:lineRule="exact"/>
        <w:rPr>
          <w:rFonts w:hint="cs"/>
          <w:rtl/>
        </w:rPr>
      </w:pPr>
      <w:r>
        <w:rPr>
          <w:rtl/>
        </w:rPr>
        <w:t>–</w:t>
      </w:r>
      <w:r>
        <w:rPr>
          <w:rtl/>
        </w:rPr>
        <w:tab/>
      </w:r>
      <w:hyperlink r:id="rId8" w:history="1">
        <w:r w:rsidR="00A7624C" w:rsidRPr="00A7624C">
          <w:rPr>
            <w:rStyle w:val="Hyperlink"/>
            <w:rtl/>
          </w:rPr>
          <w:t>חוק-יסוד: השפיטה</w:t>
        </w:r>
      </w:hyperlink>
      <w:r w:rsidR="00020757">
        <w:rPr>
          <w:rFonts w:hint="cs"/>
          <w:rtl/>
        </w:rPr>
        <w:t xml:space="preserve">, </w:t>
      </w:r>
      <w:hyperlink r:id="rId9" w:history="1">
        <w:r w:rsidR="005A31F1" w:rsidRPr="005A31F1">
          <w:rPr>
            <w:color w:val="0000FF"/>
            <w:u w:val="single"/>
            <w:rtl/>
          </w:rPr>
          <w:t>סעיף 2</w:t>
        </w:r>
      </w:hyperlink>
      <w:r w:rsidR="00BF001A">
        <w:rPr>
          <w:rFonts w:hint="cs"/>
          <w:rtl/>
        </w:rPr>
        <w:t>.</w:t>
      </w:r>
    </w:p>
    <w:p w:rsidR="008A62E1" w:rsidRDefault="008A62E1" w:rsidP="00166A59">
      <w:pPr>
        <w:pStyle w:val="a1"/>
        <w:spacing w:before="180" w:after="30" w:line="260" w:lineRule="exact"/>
        <w:rPr>
          <w:rtl/>
        </w:rPr>
      </w:pPr>
      <w:r>
        <w:rPr>
          <w:rtl/>
        </w:rPr>
        <w:t>חקיקה ראשית שאוזכרה:</w:t>
      </w:r>
    </w:p>
    <w:p w:rsidR="008A62E1" w:rsidRDefault="008A62E1" w:rsidP="00A615D7">
      <w:pPr>
        <w:pStyle w:val="a1"/>
        <w:spacing w:after="30" w:line="250" w:lineRule="exact"/>
        <w:rPr>
          <w:rFonts w:hint="cs"/>
          <w:rtl/>
        </w:rPr>
      </w:pPr>
      <w:r>
        <w:rPr>
          <w:rtl/>
        </w:rPr>
        <w:t>–</w:t>
      </w:r>
      <w:r>
        <w:rPr>
          <w:rtl/>
        </w:rPr>
        <w:tab/>
      </w:r>
      <w:hyperlink r:id="rId10" w:history="1">
        <w:r w:rsidR="00A7624C" w:rsidRPr="00A7624C">
          <w:rPr>
            <w:rStyle w:val="Hyperlink"/>
            <w:rtl/>
          </w:rPr>
          <w:t>חוק ההגבלים העסקיים</w:t>
        </w:r>
      </w:hyperlink>
      <w:r w:rsidR="003E054D">
        <w:rPr>
          <w:rFonts w:hint="cs"/>
          <w:rtl/>
        </w:rPr>
        <w:t xml:space="preserve">, </w:t>
      </w:r>
      <w:r w:rsidR="00397883">
        <w:rPr>
          <w:rFonts w:hint="cs"/>
          <w:rtl/>
        </w:rPr>
        <w:t>תשמ"ח-1988, סעיפים</w:t>
      </w:r>
      <w:r w:rsidR="00D1641E">
        <w:rPr>
          <w:rFonts w:hint="cs"/>
          <w:rtl/>
        </w:rPr>
        <w:t xml:space="preserve"> </w:t>
      </w:r>
      <w:hyperlink r:id="rId11" w:history="1">
        <w:r w:rsidR="005A31F1" w:rsidRPr="005A31F1">
          <w:rPr>
            <w:color w:val="0000FF"/>
            <w:u w:val="single"/>
            <w:rtl/>
          </w:rPr>
          <w:t>2</w:t>
        </w:r>
      </w:hyperlink>
      <w:r w:rsidR="00D1641E">
        <w:rPr>
          <w:rFonts w:hint="cs"/>
          <w:rtl/>
        </w:rPr>
        <w:t>,</w:t>
      </w:r>
      <w:r w:rsidR="00397883">
        <w:rPr>
          <w:rFonts w:hint="cs"/>
          <w:rtl/>
        </w:rPr>
        <w:t xml:space="preserve"> </w:t>
      </w:r>
      <w:hyperlink r:id="rId12" w:history="1">
        <w:r w:rsidR="005A31F1" w:rsidRPr="005A31F1">
          <w:rPr>
            <w:color w:val="0000FF"/>
            <w:u w:val="single"/>
            <w:rtl/>
          </w:rPr>
          <w:t>2(א)</w:t>
        </w:r>
      </w:hyperlink>
      <w:r w:rsidR="00397883">
        <w:rPr>
          <w:rFonts w:hint="cs"/>
          <w:rtl/>
        </w:rPr>
        <w:t>,</w:t>
      </w:r>
      <w:r w:rsidR="001768AD">
        <w:rPr>
          <w:rFonts w:hint="cs"/>
          <w:rtl/>
        </w:rPr>
        <w:t xml:space="preserve"> </w:t>
      </w:r>
      <w:hyperlink r:id="rId13" w:history="1">
        <w:r w:rsidR="005A31F1" w:rsidRPr="005A31F1">
          <w:rPr>
            <w:color w:val="0000FF"/>
            <w:u w:val="single"/>
            <w:rtl/>
          </w:rPr>
          <w:t>2(ב)</w:t>
        </w:r>
      </w:hyperlink>
      <w:r w:rsidR="001768AD">
        <w:rPr>
          <w:rFonts w:hint="cs"/>
          <w:rtl/>
        </w:rPr>
        <w:t>,</w:t>
      </w:r>
      <w:r w:rsidR="00397883">
        <w:rPr>
          <w:rFonts w:hint="cs"/>
          <w:rtl/>
        </w:rPr>
        <w:t xml:space="preserve"> </w:t>
      </w:r>
      <w:hyperlink r:id="rId14" w:history="1">
        <w:r w:rsidR="005A31F1" w:rsidRPr="005A31F1">
          <w:rPr>
            <w:color w:val="0000FF"/>
            <w:u w:val="single"/>
            <w:rtl/>
          </w:rPr>
          <w:t>2(ב)(3)</w:t>
        </w:r>
      </w:hyperlink>
      <w:r w:rsidR="00397883">
        <w:rPr>
          <w:rFonts w:hint="cs"/>
          <w:rtl/>
        </w:rPr>
        <w:t xml:space="preserve">, </w:t>
      </w:r>
      <w:hyperlink r:id="rId15" w:history="1">
        <w:r w:rsidR="005A31F1" w:rsidRPr="005A31F1">
          <w:rPr>
            <w:color w:val="0000FF"/>
            <w:u w:val="single"/>
            <w:rtl/>
          </w:rPr>
          <w:t>4</w:t>
        </w:r>
      </w:hyperlink>
      <w:r w:rsidR="00397883">
        <w:rPr>
          <w:rFonts w:hint="cs"/>
          <w:rtl/>
        </w:rPr>
        <w:t xml:space="preserve">, </w:t>
      </w:r>
      <w:hyperlink r:id="rId16" w:history="1">
        <w:r w:rsidR="005A31F1" w:rsidRPr="005A31F1">
          <w:rPr>
            <w:color w:val="0000FF"/>
            <w:u w:val="single"/>
            <w:rtl/>
          </w:rPr>
          <w:t>9</w:t>
        </w:r>
      </w:hyperlink>
      <w:r w:rsidR="001D466A">
        <w:rPr>
          <w:rFonts w:hint="cs"/>
          <w:rtl/>
        </w:rPr>
        <w:t xml:space="preserve">, </w:t>
      </w:r>
      <w:hyperlink r:id="rId17" w:history="1">
        <w:r w:rsidR="005A31F1" w:rsidRPr="005A31F1">
          <w:rPr>
            <w:color w:val="0000FF"/>
            <w:u w:val="single"/>
            <w:rtl/>
          </w:rPr>
          <w:t>10</w:t>
        </w:r>
      </w:hyperlink>
      <w:r w:rsidR="00860B7E">
        <w:rPr>
          <w:rFonts w:hint="cs"/>
          <w:rtl/>
        </w:rPr>
        <w:t xml:space="preserve">, </w:t>
      </w:r>
      <w:hyperlink r:id="rId18" w:history="1">
        <w:r w:rsidR="005A31F1" w:rsidRPr="005A31F1">
          <w:rPr>
            <w:rStyle w:val="Hyperlink"/>
            <w:rtl/>
          </w:rPr>
          <w:t>14</w:t>
        </w:r>
      </w:hyperlink>
      <w:r w:rsidR="00860B7E">
        <w:rPr>
          <w:rFonts w:hint="cs"/>
          <w:rtl/>
        </w:rPr>
        <w:t xml:space="preserve">, </w:t>
      </w:r>
      <w:hyperlink r:id="rId19" w:history="1">
        <w:r w:rsidR="005A31F1" w:rsidRPr="005A31F1">
          <w:rPr>
            <w:rStyle w:val="Hyperlink"/>
            <w:rtl/>
          </w:rPr>
          <w:t>15א</w:t>
        </w:r>
      </w:hyperlink>
      <w:r w:rsidR="001D466A">
        <w:rPr>
          <w:rFonts w:hint="cs"/>
          <w:rtl/>
        </w:rPr>
        <w:t xml:space="preserve">, </w:t>
      </w:r>
      <w:hyperlink r:id="rId20" w:history="1">
        <w:r w:rsidR="005A31F1" w:rsidRPr="005A31F1">
          <w:rPr>
            <w:rStyle w:val="Hyperlink"/>
            <w:rtl/>
          </w:rPr>
          <w:t>47(א)(1)</w:t>
        </w:r>
      </w:hyperlink>
      <w:r w:rsidR="00397883">
        <w:rPr>
          <w:rFonts w:hint="cs"/>
          <w:rtl/>
        </w:rPr>
        <w:t xml:space="preserve">, </w:t>
      </w:r>
      <w:hyperlink r:id="rId21" w:history="1">
        <w:r w:rsidR="005A31F1" w:rsidRPr="005A31F1">
          <w:rPr>
            <w:rStyle w:val="Hyperlink"/>
            <w:rtl/>
          </w:rPr>
          <w:t>48</w:t>
        </w:r>
      </w:hyperlink>
      <w:r w:rsidR="00BF001A">
        <w:rPr>
          <w:rFonts w:hint="cs"/>
          <w:rtl/>
        </w:rPr>
        <w:t>.</w:t>
      </w:r>
    </w:p>
    <w:p w:rsidR="008A62E1" w:rsidRDefault="008A62E1" w:rsidP="00A615D7">
      <w:pPr>
        <w:pStyle w:val="a1"/>
        <w:spacing w:after="30" w:line="250" w:lineRule="exact"/>
        <w:rPr>
          <w:rFonts w:hint="cs"/>
          <w:rtl/>
        </w:rPr>
      </w:pPr>
      <w:r>
        <w:rPr>
          <w:rtl/>
        </w:rPr>
        <w:t>–</w:t>
      </w:r>
      <w:r>
        <w:rPr>
          <w:rtl/>
        </w:rPr>
        <w:tab/>
      </w:r>
      <w:hyperlink r:id="rId22" w:history="1">
        <w:r w:rsidR="00A7624C" w:rsidRPr="00A7624C">
          <w:rPr>
            <w:rStyle w:val="Hyperlink"/>
            <w:rtl/>
          </w:rPr>
          <w:t>חוק העונשין</w:t>
        </w:r>
      </w:hyperlink>
      <w:r w:rsidR="005A59D3">
        <w:rPr>
          <w:rFonts w:hint="cs"/>
          <w:rtl/>
        </w:rPr>
        <w:t xml:space="preserve">, תשל"ז-1977, סעיפים </w:t>
      </w:r>
      <w:hyperlink r:id="rId23" w:history="1">
        <w:r w:rsidR="005A31F1" w:rsidRPr="005A31F1">
          <w:rPr>
            <w:color w:val="0000FF"/>
            <w:u w:val="single"/>
            <w:rtl/>
          </w:rPr>
          <w:t>31</w:t>
        </w:r>
      </w:hyperlink>
      <w:r w:rsidR="005A59D3">
        <w:rPr>
          <w:rFonts w:hint="cs"/>
          <w:rtl/>
        </w:rPr>
        <w:t>,</w:t>
      </w:r>
      <w:r w:rsidR="00CF6A04">
        <w:rPr>
          <w:rFonts w:hint="cs"/>
          <w:rtl/>
        </w:rPr>
        <w:t xml:space="preserve"> </w:t>
      </w:r>
      <w:hyperlink r:id="rId24" w:history="1">
        <w:r w:rsidR="005A31F1" w:rsidRPr="005A31F1">
          <w:rPr>
            <w:color w:val="0000FF"/>
            <w:u w:val="single"/>
            <w:rtl/>
          </w:rPr>
          <w:t>34ה</w:t>
        </w:r>
      </w:hyperlink>
      <w:r w:rsidR="00CF6A04">
        <w:rPr>
          <w:rFonts w:hint="cs"/>
          <w:rtl/>
        </w:rPr>
        <w:t>,</w:t>
      </w:r>
      <w:r w:rsidR="00392EF2">
        <w:rPr>
          <w:rFonts w:hint="cs"/>
          <w:rtl/>
        </w:rPr>
        <w:t xml:space="preserve"> </w:t>
      </w:r>
      <w:hyperlink r:id="rId25" w:history="1">
        <w:r w:rsidR="005A31F1" w:rsidRPr="005A31F1">
          <w:rPr>
            <w:color w:val="0000FF"/>
            <w:u w:val="single"/>
            <w:rtl/>
          </w:rPr>
          <w:t>34יז</w:t>
        </w:r>
      </w:hyperlink>
      <w:r w:rsidR="00972135">
        <w:rPr>
          <w:rFonts w:hint="cs"/>
          <w:rtl/>
        </w:rPr>
        <w:t xml:space="preserve">, </w:t>
      </w:r>
      <w:hyperlink r:id="rId26" w:history="1">
        <w:r w:rsidR="005A31F1" w:rsidRPr="005A31F1">
          <w:rPr>
            <w:color w:val="0000FF"/>
            <w:u w:val="single"/>
            <w:rtl/>
          </w:rPr>
          <w:t>34כ</w:t>
        </w:r>
      </w:hyperlink>
      <w:r w:rsidR="00CF6A04">
        <w:rPr>
          <w:rFonts w:hint="cs"/>
          <w:rtl/>
        </w:rPr>
        <w:t xml:space="preserve">, </w:t>
      </w:r>
      <w:hyperlink r:id="rId27" w:history="1">
        <w:r w:rsidR="005A31F1" w:rsidRPr="005A31F1">
          <w:rPr>
            <w:color w:val="0000FF"/>
            <w:u w:val="single"/>
            <w:rtl/>
          </w:rPr>
          <w:t>34כג</w:t>
        </w:r>
      </w:hyperlink>
      <w:r w:rsidR="00020757">
        <w:rPr>
          <w:rFonts w:hint="cs"/>
          <w:rtl/>
        </w:rPr>
        <w:t xml:space="preserve">, </w:t>
      </w:r>
      <w:hyperlink r:id="rId28" w:history="1">
        <w:r w:rsidR="005A31F1" w:rsidRPr="005A31F1">
          <w:rPr>
            <w:color w:val="0000FF"/>
            <w:u w:val="single"/>
            <w:rtl/>
          </w:rPr>
          <w:t xml:space="preserve">פרק ה'1, </w:t>
        </w:r>
        <w:r w:rsidR="005A31F1" w:rsidRPr="005A31F1">
          <w:rPr>
            <w:color w:val="0000FF"/>
            <w:u w:val="single"/>
            <w:rtl/>
          </w:rPr>
          <w:br/>
          <w:t>סימן ב</w:t>
        </w:r>
      </w:hyperlink>
      <w:r w:rsidR="00020757">
        <w:rPr>
          <w:rFonts w:hint="cs"/>
          <w:rtl/>
        </w:rPr>
        <w:t>'</w:t>
      </w:r>
      <w:r w:rsidR="00BF001A">
        <w:rPr>
          <w:rFonts w:hint="cs"/>
          <w:rtl/>
        </w:rPr>
        <w:t>.</w:t>
      </w:r>
    </w:p>
    <w:p w:rsidR="008A62E1" w:rsidRDefault="008A62E1" w:rsidP="00A615D7">
      <w:pPr>
        <w:pStyle w:val="a1"/>
        <w:spacing w:after="30" w:line="250" w:lineRule="exact"/>
        <w:rPr>
          <w:rFonts w:hint="cs"/>
          <w:rtl/>
        </w:rPr>
      </w:pPr>
      <w:r>
        <w:rPr>
          <w:rtl/>
        </w:rPr>
        <w:t>–</w:t>
      </w:r>
      <w:r>
        <w:rPr>
          <w:rtl/>
        </w:rPr>
        <w:tab/>
      </w:r>
      <w:r w:rsidR="00A7624C" w:rsidRPr="005A31F1">
        <w:rPr>
          <w:spacing w:val="-2"/>
          <w:rtl/>
        </w:rPr>
        <w:t>חוק העונשין</w:t>
      </w:r>
      <w:r w:rsidR="003D631E" w:rsidRPr="006975BB">
        <w:rPr>
          <w:rFonts w:hint="cs"/>
          <w:spacing w:val="-2"/>
          <w:rtl/>
        </w:rPr>
        <w:t xml:space="preserve"> (תיקון מס' 39) (חלק מקדמי וחלק כללי), תשנ"ד-1994</w:t>
      </w:r>
      <w:r w:rsidR="006975BB" w:rsidRPr="006975BB">
        <w:rPr>
          <w:rFonts w:hint="cs"/>
          <w:spacing w:val="-2"/>
          <w:rtl/>
        </w:rPr>
        <w:t xml:space="preserve">, </w:t>
      </w:r>
      <w:r w:rsidR="00DE70CB">
        <w:rPr>
          <w:rFonts w:hint="cs"/>
          <w:spacing w:val="-2"/>
          <w:rtl/>
        </w:rPr>
        <w:t>ס</w:t>
      </w:r>
      <w:r w:rsidR="006975BB" w:rsidRPr="006975BB">
        <w:rPr>
          <w:rFonts w:hint="cs"/>
          <w:spacing w:val="-2"/>
          <w:rtl/>
        </w:rPr>
        <w:t>"ח 348</w:t>
      </w:r>
      <w:r w:rsidR="003D631E">
        <w:rPr>
          <w:rFonts w:hint="cs"/>
          <w:rtl/>
        </w:rPr>
        <w:t>.</w:t>
      </w:r>
    </w:p>
    <w:p w:rsidR="008A62E1" w:rsidRDefault="008A62E1" w:rsidP="00A615D7">
      <w:pPr>
        <w:pStyle w:val="a1"/>
        <w:spacing w:after="30" w:line="250" w:lineRule="exact"/>
        <w:rPr>
          <w:rFonts w:hint="cs"/>
          <w:rtl/>
        </w:rPr>
      </w:pPr>
      <w:r>
        <w:rPr>
          <w:rtl/>
        </w:rPr>
        <w:t>–</w:t>
      </w:r>
      <w:r>
        <w:rPr>
          <w:rtl/>
        </w:rPr>
        <w:tab/>
      </w:r>
      <w:hyperlink r:id="rId29" w:history="1">
        <w:r w:rsidR="00A7624C" w:rsidRPr="00A7624C">
          <w:rPr>
            <w:rStyle w:val="Hyperlink"/>
            <w:rtl/>
          </w:rPr>
          <w:t>חוק סדר הדין הפלילי</w:t>
        </w:r>
      </w:hyperlink>
      <w:r w:rsidR="004C5B7C" w:rsidRPr="00A7624C">
        <w:rPr>
          <w:rtl/>
        </w:rPr>
        <w:t xml:space="preserve"> [נוסח משולב]</w:t>
      </w:r>
      <w:r w:rsidR="003D631E">
        <w:rPr>
          <w:rFonts w:hint="cs"/>
          <w:rtl/>
        </w:rPr>
        <w:t xml:space="preserve">, תשמ"ב-1982, סעיפים </w:t>
      </w:r>
      <w:hyperlink r:id="rId30" w:history="1">
        <w:r w:rsidR="005A31F1" w:rsidRPr="005A31F1">
          <w:rPr>
            <w:color w:val="0000FF"/>
            <w:u w:val="single"/>
            <w:rtl/>
          </w:rPr>
          <w:t>59</w:t>
        </w:r>
      </w:hyperlink>
      <w:r w:rsidR="003D631E">
        <w:rPr>
          <w:rFonts w:hint="cs"/>
          <w:rtl/>
        </w:rPr>
        <w:t xml:space="preserve">, </w:t>
      </w:r>
      <w:hyperlink r:id="rId31" w:history="1">
        <w:r w:rsidR="005A31F1" w:rsidRPr="005A31F1">
          <w:rPr>
            <w:color w:val="0000FF"/>
            <w:u w:val="single"/>
            <w:rtl/>
          </w:rPr>
          <w:t>62</w:t>
        </w:r>
      </w:hyperlink>
      <w:r w:rsidR="00BF001A">
        <w:rPr>
          <w:rFonts w:hint="cs"/>
          <w:rtl/>
        </w:rPr>
        <w:t>.</w:t>
      </w:r>
    </w:p>
    <w:p w:rsidR="003C285D" w:rsidRDefault="003C285D" w:rsidP="00A615D7">
      <w:pPr>
        <w:pStyle w:val="a1"/>
        <w:spacing w:after="30" w:line="250" w:lineRule="exact"/>
        <w:rPr>
          <w:rFonts w:hint="cs"/>
          <w:rtl/>
        </w:rPr>
      </w:pPr>
      <w:r>
        <w:rPr>
          <w:rFonts w:hint="cs"/>
          <w:rtl/>
        </w:rPr>
        <w:t>–</w:t>
      </w:r>
      <w:r>
        <w:rPr>
          <w:rFonts w:hint="cs"/>
          <w:rtl/>
        </w:rPr>
        <w:tab/>
      </w:r>
      <w:hyperlink r:id="rId32" w:history="1">
        <w:r w:rsidR="00A7624C" w:rsidRPr="00A7624C">
          <w:rPr>
            <w:rStyle w:val="Hyperlink"/>
            <w:rtl/>
          </w:rPr>
          <w:t>פקודת הנזיקין</w:t>
        </w:r>
      </w:hyperlink>
      <w:r>
        <w:rPr>
          <w:rFonts w:hint="cs"/>
          <w:rtl/>
        </w:rPr>
        <w:t xml:space="preserve"> [נוסח חדש], </w:t>
      </w:r>
      <w:hyperlink r:id="rId33" w:history="1">
        <w:r w:rsidR="005A31F1" w:rsidRPr="005A31F1">
          <w:rPr>
            <w:color w:val="0000FF"/>
            <w:u w:val="single"/>
            <w:rtl/>
          </w:rPr>
          <w:t>סעיף 8</w:t>
        </w:r>
      </w:hyperlink>
      <w:r w:rsidR="00BF001A">
        <w:rPr>
          <w:rFonts w:hint="cs"/>
          <w:rtl/>
        </w:rPr>
        <w:t>.</w:t>
      </w:r>
    </w:p>
    <w:p w:rsidR="00994ECD" w:rsidRDefault="00994ECD" w:rsidP="00A615D7">
      <w:pPr>
        <w:pStyle w:val="a1"/>
        <w:spacing w:after="30" w:line="250" w:lineRule="exact"/>
        <w:rPr>
          <w:rFonts w:hint="cs"/>
          <w:rtl/>
        </w:rPr>
      </w:pPr>
      <w:r>
        <w:rPr>
          <w:rFonts w:hint="cs"/>
          <w:rtl/>
        </w:rPr>
        <w:t>–</w:t>
      </w:r>
      <w:r>
        <w:rPr>
          <w:rFonts w:hint="cs"/>
          <w:rtl/>
        </w:rPr>
        <w:tab/>
      </w:r>
      <w:hyperlink r:id="rId34" w:history="1">
        <w:r w:rsidR="00A7624C" w:rsidRPr="00A7624C">
          <w:rPr>
            <w:rStyle w:val="Hyperlink"/>
            <w:rtl/>
          </w:rPr>
          <w:t>חוק איסור לשון הרע</w:t>
        </w:r>
      </w:hyperlink>
      <w:r>
        <w:rPr>
          <w:rFonts w:hint="cs"/>
          <w:rtl/>
        </w:rPr>
        <w:t xml:space="preserve">, תשכ"ה-1965, </w:t>
      </w:r>
      <w:hyperlink r:id="rId35" w:history="1">
        <w:r w:rsidR="005A31F1" w:rsidRPr="005A31F1">
          <w:rPr>
            <w:rStyle w:val="Hyperlink"/>
            <w:rFonts w:hint="eastAsia"/>
            <w:rtl/>
          </w:rPr>
          <w:t>סעיף</w:t>
        </w:r>
        <w:r w:rsidR="005A31F1" w:rsidRPr="005A31F1">
          <w:rPr>
            <w:rStyle w:val="Hyperlink"/>
            <w:rtl/>
          </w:rPr>
          <w:t xml:space="preserve"> 13(5)</w:t>
        </w:r>
      </w:hyperlink>
      <w:r w:rsidR="00BF001A">
        <w:rPr>
          <w:rFonts w:hint="cs"/>
          <w:rtl/>
        </w:rPr>
        <w:t>.</w:t>
      </w:r>
    </w:p>
    <w:p w:rsidR="00020757" w:rsidRDefault="00020757" w:rsidP="00A615D7">
      <w:pPr>
        <w:pStyle w:val="a1"/>
        <w:spacing w:after="30" w:line="250" w:lineRule="exact"/>
        <w:rPr>
          <w:rFonts w:hint="cs"/>
          <w:rtl/>
        </w:rPr>
      </w:pPr>
      <w:r>
        <w:rPr>
          <w:rFonts w:hint="cs"/>
          <w:rtl/>
        </w:rPr>
        <w:t>–</w:t>
      </w:r>
      <w:r>
        <w:rPr>
          <w:rFonts w:hint="cs"/>
          <w:rtl/>
        </w:rPr>
        <w:tab/>
      </w:r>
      <w:hyperlink r:id="rId36" w:history="1">
        <w:r w:rsidR="003E74FA" w:rsidRPr="003E74FA">
          <w:rPr>
            <w:color w:val="0000FF"/>
            <w:u w:val="single"/>
            <w:rtl/>
          </w:rPr>
          <w:t>פקודת החוק הפלילי, 1936.</w:t>
        </w:r>
      </w:hyperlink>
    </w:p>
    <w:p w:rsidR="00BF794A" w:rsidRDefault="00BF794A" w:rsidP="00A615D7">
      <w:pPr>
        <w:pStyle w:val="a1"/>
        <w:spacing w:after="30" w:line="250" w:lineRule="exact"/>
        <w:rPr>
          <w:rFonts w:hint="cs"/>
          <w:rtl/>
        </w:rPr>
      </w:pPr>
      <w:r>
        <w:rPr>
          <w:rFonts w:hint="cs"/>
          <w:rtl/>
        </w:rPr>
        <w:t>–</w:t>
      </w:r>
      <w:r>
        <w:rPr>
          <w:rFonts w:hint="cs"/>
          <w:rtl/>
        </w:rPr>
        <w:tab/>
      </w:r>
      <w:hyperlink r:id="rId37" w:history="1">
        <w:r w:rsidR="00A7624C" w:rsidRPr="00A7624C">
          <w:rPr>
            <w:rStyle w:val="Hyperlink"/>
            <w:rtl/>
          </w:rPr>
          <w:t>חוק הבוררות</w:t>
        </w:r>
      </w:hyperlink>
      <w:r>
        <w:rPr>
          <w:rFonts w:hint="cs"/>
          <w:rtl/>
        </w:rPr>
        <w:t xml:space="preserve">, תשכ"ח-1968, סעיפים </w:t>
      </w:r>
      <w:hyperlink r:id="rId38" w:history="1">
        <w:r w:rsidR="005A31F1" w:rsidRPr="005A31F1">
          <w:rPr>
            <w:color w:val="0000FF"/>
            <w:u w:val="single"/>
            <w:rtl/>
          </w:rPr>
          <w:t>23</w:t>
        </w:r>
      </w:hyperlink>
      <w:r>
        <w:rPr>
          <w:rFonts w:hint="cs"/>
          <w:rtl/>
        </w:rPr>
        <w:t xml:space="preserve">, </w:t>
      </w:r>
      <w:hyperlink r:id="rId39" w:history="1">
        <w:r w:rsidR="005A31F1" w:rsidRPr="005A31F1">
          <w:rPr>
            <w:color w:val="0000FF"/>
            <w:u w:val="single"/>
            <w:rtl/>
          </w:rPr>
          <w:t>24</w:t>
        </w:r>
      </w:hyperlink>
      <w:r w:rsidR="00BF001A">
        <w:rPr>
          <w:rFonts w:hint="cs"/>
          <w:rtl/>
        </w:rPr>
        <w:t>.</w:t>
      </w:r>
    </w:p>
    <w:p w:rsidR="00DD38BF" w:rsidRDefault="00DD38BF" w:rsidP="00A615D7">
      <w:pPr>
        <w:pStyle w:val="a1"/>
        <w:spacing w:after="30" w:line="250" w:lineRule="exact"/>
        <w:rPr>
          <w:rFonts w:hint="cs"/>
          <w:rtl/>
        </w:rPr>
      </w:pPr>
      <w:r>
        <w:rPr>
          <w:rFonts w:hint="cs"/>
          <w:rtl/>
        </w:rPr>
        <w:t>–</w:t>
      </w:r>
      <w:r>
        <w:rPr>
          <w:rFonts w:hint="cs"/>
          <w:rtl/>
        </w:rPr>
        <w:tab/>
      </w:r>
      <w:hyperlink r:id="rId40" w:history="1">
        <w:r w:rsidR="00A7624C" w:rsidRPr="00A7624C">
          <w:rPr>
            <w:rStyle w:val="Hyperlink"/>
            <w:rtl/>
          </w:rPr>
          <w:t>חוק בתי</w:t>
        </w:r>
        <w:r w:rsidR="00A7624C" w:rsidRPr="00A7624C">
          <w:rPr>
            <w:rStyle w:val="Hyperlink"/>
            <w:rtl/>
          </w:rPr>
          <w:t xml:space="preserve"> </w:t>
        </w:r>
        <w:r w:rsidR="00A7624C" w:rsidRPr="00A7624C">
          <w:rPr>
            <w:rStyle w:val="Hyperlink"/>
            <w:rtl/>
          </w:rPr>
          <w:t>המשפט</w:t>
        </w:r>
      </w:hyperlink>
      <w:r w:rsidR="004C5B7C" w:rsidRPr="00A7624C">
        <w:rPr>
          <w:rtl/>
        </w:rPr>
        <w:t xml:space="preserve"> [נוסח משולב]</w:t>
      </w:r>
      <w:r>
        <w:rPr>
          <w:rFonts w:hint="cs"/>
          <w:rtl/>
        </w:rPr>
        <w:t xml:space="preserve">, תשמ"ד-1984, </w:t>
      </w:r>
      <w:hyperlink r:id="rId41" w:history="1">
        <w:r w:rsidR="005A31F1" w:rsidRPr="005A31F1">
          <w:rPr>
            <w:color w:val="0000FF"/>
            <w:u w:val="single"/>
            <w:rtl/>
          </w:rPr>
          <w:t>סעיפים 21-17</w:t>
        </w:r>
      </w:hyperlink>
      <w:r w:rsidR="00BF001A">
        <w:rPr>
          <w:rFonts w:hint="cs"/>
          <w:rtl/>
        </w:rPr>
        <w:t>.</w:t>
      </w:r>
    </w:p>
    <w:p w:rsidR="00DD38BF" w:rsidRDefault="00DD38BF" w:rsidP="00A615D7">
      <w:pPr>
        <w:pStyle w:val="a1"/>
        <w:spacing w:after="30" w:line="250" w:lineRule="exact"/>
        <w:rPr>
          <w:rFonts w:hint="cs"/>
          <w:rtl/>
        </w:rPr>
      </w:pPr>
      <w:r>
        <w:rPr>
          <w:rFonts w:hint="cs"/>
          <w:rtl/>
        </w:rPr>
        <w:t>–</w:t>
      </w:r>
      <w:r>
        <w:rPr>
          <w:rFonts w:hint="cs"/>
          <w:rtl/>
        </w:rPr>
        <w:tab/>
      </w:r>
      <w:hyperlink r:id="rId42" w:history="1">
        <w:r w:rsidR="00A7624C" w:rsidRPr="00A7624C">
          <w:rPr>
            <w:rStyle w:val="Hyperlink"/>
            <w:rtl/>
          </w:rPr>
          <w:t>חוק נציב תלונות הציבור על שופטים</w:t>
        </w:r>
      </w:hyperlink>
      <w:r>
        <w:rPr>
          <w:rFonts w:hint="cs"/>
          <w:rtl/>
        </w:rPr>
        <w:t xml:space="preserve">, תשס"ב-2002, </w:t>
      </w:r>
      <w:hyperlink r:id="rId43" w:history="1">
        <w:r w:rsidR="005A31F1" w:rsidRPr="005A31F1">
          <w:rPr>
            <w:color w:val="0000FF"/>
            <w:u w:val="single"/>
            <w:rtl/>
          </w:rPr>
          <w:t>סעיף 14</w:t>
        </w:r>
      </w:hyperlink>
      <w:r w:rsidR="00BF001A">
        <w:rPr>
          <w:rFonts w:hint="cs"/>
          <w:rtl/>
        </w:rPr>
        <w:t>.</w:t>
      </w:r>
    </w:p>
    <w:p w:rsidR="00860B7E" w:rsidRDefault="00860B7E" w:rsidP="00A615D7">
      <w:pPr>
        <w:pStyle w:val="a1"/>
        <w:spacing w:before="180" w:after="30" w:line="250" w:lineRule="exact"/>
        <w:rPr>
          <w:rtl/>
        </w:rPr>
      </w:pPr>
      <w:r>
        <w:rPr>
          <w:rFonts w:hint="cs"/>
          <w:rtl/>
        </w:rPr>
        <w:t>חקיקת משנה שאוזכרה</w:t>
      </w:r>
      <w:r>
        <w:rPr>
          <w:rtl/>
        </w:rPr>
        <w:t>:</w:t>
      </w:r>
    </w:p>
    <w:p w:rsidR="00860B7E" w:rsidRDefault="00860B7E" w:rsidP="00A615D7">
      <w:pPr>
        <w:pStyle w:val="a1"/>
        <w:spacing w:after="30" w:line="250" w:lineRule="exact"/>
        <w:rPr>
          <w:rFonts w:hint="cs"/>
          <w:rtl/>
        </w:rPr>
      </w:pPr>
      <w:r>
        <w:rPr>
          <w:rFonts w:hint="cs"/>
          <w:sz w:val="22"/>
          <w:rtl/>
        </w:rPr>
        <w:t>–</w:t>
      </w:r>
      <w:r>
        <w:rPr>
          <w:rFonts w:hint="cs"/>
          <w:sz w:val="22"/>
          <w:rtl/>
        </w:rPr>
        <w:tab/>
      </w:r>
      <w:hyperlink r:id="rId44" w:history="1">
        <w:r w:rsidR="0025156A" w:rsidRPr="0025156A">
          <w:rPr>
            <w:color w:val="0000FF"/>
            <w:sz w:val="22"/>
            <w:u w:val="single"/>
            <w:rtl/>
          </w:rPr>
          <w:t>כללי ההגבלים העסקיים (פטור סוג להסכמים שפגיעתם בתחרות קלת ערך)</w:t>
        </w:r>
      </w:hyperlink>
      <w:r>
        <w:rPr>
          <w:rFonts w:hint="cs"/>
          <w:sz w:val="22"/>
          <w:rtl/>
        </w:rPr>
        <w:t>, תשס"א-2001.</w:t>
      </w:r>
    </w:p>
    <w:p w:rsidR="008A62E1" w:rsidRDefault="00BF001A" w:rsidP="00166A59">
      <w:pPr>
        <w:pStyle w:val="a1"/>
        <w:spacing w:before="180" w:line="260" w:lineRule="exact"/>
        <w:rPr>
          <w:rtl/>
        </w:rPr>
      </w:pPr>
      <w:r>
        <w:rPr>
          <w:rFonts w:hint="cs"/>
          <w:rtl/>
        </w:rPr>
        <w:t>הצעות חוק שאוזכרו</w:t>
      </w:r>
      <w:r w:rsidR="008A62E1">
        <w:rPr>
          <w:rtl/>
        </w:rPr>
        <w:t>:</w:t>
      </w:r>
    </w:p>
    <w:p w:rsidR="008A62E1" w:rsidRPr="00702E0F" w:rsidRDefault="008A62E1" w:rsidP="00702E0F">
      <w:pPr>
        <w:pStyle w:val="a1"/>
        <w:spacing w:line="260" w:lineRule="exact"/>
        <w:rPr>
          <w:rFonts w:hint="cs"/>
          <w:rtl/>
        </w:rPr>
      </w:pPr>
      <w:r>
        <w:rPr>
          <w:rtl/>
        </w:rPr>
        <w:t>–</w:t>
      </w:r>
      <w:r>
        <w:rPr>
          <w:rtl/>
        </w:rPr>
        <w:tab/>
      </w:r>
      <w:r w:rsidR="00994ECD" w:rsidRPr="006975BB">
        <w:rPr>
          <w:rFonts w:hint="cs"/>
          <w:spacing w:val="-2"/>
          <w:rtl/>
        </w:rPr>
        <w:t xml:space="preserve">הצעת </w:t>
      </w:r>
      <w:r w:rsidR="00A7624C" w:rsidRPr="0025156A">
        <w:rPr>
          <w:spacing w:val="-2"/>
          <w:rtl/>
        </w:rPr>
        <w:t>חוק העונשין</w:t>
      </w:r>
      <w:r w:rsidR="00702E0F" w:rsidRPr="006975BB">
        <w:rPr>
          <w:spacing w:val="-2"/>
          <w:rtl/>
        </w:rPr>
        <w:t xml:space="preserve"> (חלק מקדמי וחלק כללי), תשנ"ב-1992</w:t>
      </w:r>
      <w:r w:rsidR="00280EC2" w:rsidRPr="006975BB">
        <w:rPr>
          <w:rFonts w:hint="cs"/>
          <w:spacing w:val="-2"/>
          <w:rtl/>
        </w:rPr>
        <w:t xml:space="preserve">, </w:t>
      </w:r>
      <w:r w:rsidR="006975BB" w:rsidRPr="006975BB">
        <w:rPr>
          <w:rFonts w:hint="cs"/>
          <w:spacing w:val="-2"/>
          <w:rtl/>
        </w:rPr>
        <w:t xml:space="preserve">ה"ח 115, </w:t>
      </w:r>
      <w:r w:rsidR="00A83939" w:rsidRPr="006975BB">
        <w:rPr>
          <w:rFonts w:hint="cs"/>
          <w:spacing w:val="-2"/>
          <w:rtl/>
        </w:rPr>
        <w:t>סעיף 53</w:t>
      </w:r>
      <w:r w:rsidR="00BF001A">
        <w:rPr>
          <w:rFonts w:hint="cs"/>
          <w:rtl/>
        </w:rPr>
        <w:t>.</w:t>
      </w:r>
    </w:p>
    <w:p w:rsidR="008A62E1" w:rsidRDefault="00CD5C20" w:rsidP="00702E0F">
      <w:pPr>
        <w:pStyle w:val="a1"/>
        <w:spacing w:before="240" w:line="260" w:lineRule="exact"/>
        <w:rPr>
          <w:rtl/>
        </w:rPr>
      </w:pPr>
      <w:bookmarkStart w:id="2" w:name="_GoBack"/>
      <w:bookmarkEnd w:id="2"/>
      <w:r>
        <w:rPr>
          <w:rtl/>
        </w:rPr>
        <w:br w:type="page"/>
      </w:r>
      <w:r w:rsidR="008A62E1">
        <w:rPr>
          <w:rtl/>
        </w:rPr>
        <w:t>פסקי</w:t>
      </w:r>
      <w:r w:rsidR="00702E0F">
        <w:rPr>
          <w:rFonts w:hint="cs"/>
          <w:position w:val="4"/>
          <w:sz w:val="22"/>
          <w:rtl/>
        </w:rPr>
        <w:t xml:space="preserve"> </w:t>
      </w:r>
      <w:r w:rsidR="008A62E1">
        <w:rPr>
          <w:rtl/>
        </w:rPr>
        <w:t>דין של בית</w:t>
      </w:r>
      <w:r w:rsidR="00702E0F">
        <w:rPr>
          <w:rFonts w:hint="cs"/>
          <w:position w:val="4"/>
          <w:sz w:val="22"/>
          <w:rtl/>
        </w:rPr>
        <w:t xml:space="preserve"> </w:t>
      </w:r>
      <w:r w:rsidR="008A62E1">
        <w:rPr>
          <w:rtl/>
        </w:rPr>
        <w:t>המשפט העליון שאוזכרו:</w:t>
      </w:r>
    </w:p>
    <w:p w:rsidR="008A62E1" w:rsidRDefault="008A62E1">
      <w:pPr>
        <w:pStyle w:val="a1"/>
        <w:spacing w:line="260" w:lineRule="exact"/>
        <w:rPr>
          <w:rFonts w:hint="cs"/>
          <w:rtl/>
        </w:rPr>
      </w:pPr>
      <w:r>
        <w:rPr>
          <w:rtl/>
        </w:rPr>
        <w:t>[1]</w:t>
      </w:r>
      <w:r>
        <w:rPr>
          <w:rtl/>
        </w:rPr>
        <w:tab/>
      </w:r>
      <w:hyperlink r:id="rId45" w:history="1">
        <w:r w:rsidR="004C5B7C" w:rsidRPr="00AD4D63">
          <w:rPr>
            <w:rStyle w:val="Hyperlink"/>
            <w:rFonts w:hint="eastAsia"/>
            <w:rtl/>
          </w:rPr>
          <w:t>ע</w:t>
        </w:r>
        <w:r w:rsidR="004C5B7C" w:rsidRPr="00AD4D63">
          <w:rPr>
            <w:rStyle w:val="Hyperlink"/>
            <w:rtl/>
          </w:rPr>
          <w:t>"א 2247/95</w:t>
        </w:r>
      </w:hyperlink>
      <w:r w:rsidR="0022545B">
        <w:rPr>
          <w:rFonts w:hint="cs"/>
          <w:rtl/>
        </w:rPr>
        <w:t xml:space="preserve"> </w:t>
      </w:r>
      <w:r w:rsidR="0022545B" w:rsidRPr="0022545B">
        <w:rPr>
          <w:rFonts w:cs="Miriam" w:hint="cs"/>
          <w:szCs w:val="19"/>
          <w:rtl/>
        </w:rPr>
        <w:t>הממונה על הגבלים עסקיים נ' תנובה מרכז שיתוף לשיווק תוצרת חקלאות בישראל בע"מ</w:t>
      </w:r>
      <w:r w:rsidR="0022545B" w:rsidRPr="0022545B">
        <w:rPr>
          <w:rFonts w:hint="cs"/>
          <w:rtl/>
        </w:rPr>
        <w:t>,</w:t>
      </w:r>
      <w:r w:rsidR="0022545B">
        <w:rPr>
          <w:rFonts w:hint="cs"/>
          <w:rtl/>
        </w:rPr>
        <w:t xml:space="preserve"> פ"ד נב(5) 213.</w:t>
      </w:r>
    </w:p>
    <w:p w:rsidR="008A62E1" w:rsidRDefault="008A62E1">
      <w:pPr>
        <w:pStyle w:val="a1"/>
        <w:spacing w:line="260" w:lineRule="exact"/>
        <w:rPr>
          <w:rFonts w:hint="cs"/>
          <w:rtl/>
        </w:rPr>
      </w:pPr>
      <w:r>
        <w:rPr>
          <w:rtl/>
        </w:rPr>
        <w:t>[2]</w:t>
      </w:r>
      <w:r>
        <w:rPr>
          <w:rtl/>
        </w:rPr>
        <w:tab/>
      </w:r>
      <w:hyperlink r:id="rId46" w:history="1">
        <w:r w:rsidR="004C5B7C" w:rsidRPr="00AD4D63">
          <w:rPr>
            <w:rStyle w:val="Hyperlink"/>
            <w:rFonts w:hint="eastAsia"/>
            <w:rtl/>
          </w:rPr>
          <w:t>רע</w:t>
        </w:r>
        <w:r w:rsidR="004C5B7C" w:rsidRPr="00AD4D63">
          <w:rPr>
            <w:rStyle w:val="Hyperlink"/>
            <w:rtl/>
          </w:rPr>
          <w:t>"א 371/89 ליבוביץ נ' א. את י. אליהו בע"מ, פ"ד מד</w:t>
        </w:r>
      </w:hyperlink>
      <w:r w:rsidR="005D17B1">
        <w:rPr>
          <w:rFonts w:hint="cs"/>
          <w:rtl/>
        </w:rPr>
        <w:t>(2) 309.</w:t>
      </w:r>
    </w:p>
    <w:p w:rsidR="00A4351A" w:rsidRDefault="00A4351A">
      <w:pPr>
        <w:pStyle w:val="a1"/>
        <w:spacing w:line="260" w:lineRule="exact"/>
        <w:rPr>
          <w:rFonts w:hint="cs"/>
          <w:rtl/>
        </w:rPr>
      </w:pPr>
      <w:r>
        <w:rPr>
          <w:rFonts w:hint="cs"/>
          <w:rtl/>
        </w:rPr>
        <w:t>[3]</w:t>
      </w:r>
      <w:r>
        <w:rPr>
          <w:rFonts w:hint="cs"/>
          <w:rtl/>
        </w:rPr>
        <w:tab/>
      </w:r>
      <w:hyperlink r:id="rId47" w:history="1">
        <w:r w:rsidR="004C5B7C" w:rsidRPr="00AD4D63">
          <w:rPr>
            <w:rStyle w:val="Hyperlink"/>
            <w:rtl/>
          </w:rPr>
          <w:t>דנ"א 4465/98 טבעול (1993) בע"מ נ' שף-הים (1994) בע"מ, פ"ד נו</w:t>
        </w:r>
      </w:hyperlink>
      <w:r w:rsidRPr="00A4351A">
        <w:rPr>
          <w:rtl/>
        </w:rPr>
        <w:t>(1) 56.</w:t>
      </w:r>
    </w:p>
    <w:p w:rsidR="00010BA8" w:rsidRDefault="00010BA8">
      <w:pPr>
        <w:pStyle w:val="a1"/>
        <w:spacing w:line="260" w:lineRule="exact"/>
        <w:rPr>
          <w:rFonts w:hint="cs"/>
          <w:rtl/>
        </w:rPr>
      </w:pPr>
      <w:r>
        <w:rPr>
          <w:rFonts w:hint="cs"/>
          <w:rtl/>
        </w:rPr>
        <w:t>[4]</w:t>
      </w:r>
      <w:r>
        <w:rPr>
          <w:rFonts w:hint="cs"/>
          <w:rtl/>
        </w:rPr>
        <w:tab/>
      </w:r>
      <w:hyperlink r:id="rId48" w:history="1">
        <w:r w:rsidR="004C5B7C" w:rsidRPr="00AD4D63">
          <w:rPr>
            <w:rStyle w:val="Hyperlink"/>
            <w:spacing w:val="-2"/>
            <w:rtl/>
          </w:rPr>
          <w:t>ע"א 3700/98 א.מ. חניות (ירושלים) 1993 בע"מ נ' עיריית ירושלים, פ"ד נז</w:t>
        </w:r>
      </w:hyperlink>
      <w:r w:rsidRPr="00BF001A">
        <w:rPr>
          <w:spacing w:val="-2"/>
          <w:rtl/>
        </w:rPr>
        <w:t>(2) 590</w:t>
      </w:r>
      <w:r w:rsidRPr="00010BA8">
        <w:rPr>
          <w:rtl/>
        </w:rPr>
        <w:t>.</w:t>
      </w:r>
    </w:p>
    <w:p w:rsidR="004B29EB" w:rsidRDefault="004B29EB">
      <w:pPr>
        <w:pStyle w:val="a1"/>
        <w:spacing w:line="260" w:lineRule="exact"/>
        <w:rPr>
          <w:rFonts w:hint="cs"/>
          <w:rtl/>
        </w:rPr>
      </w:pPr>
      <w:r>
        <w:rPr>
          <w:rFonts w:hint="cs"/>
          <w:rtl/>
        </w:rPr>
        <w:t>[5]</w:t>
      </w:r>
      <w:r>
        <w:rPr>
          <w:rFonts w:hint="cs"/>
          <w:rtl/>
        </w:rPr>
        <w:tab/>
      </w:r>
      <w:hyperlink r:id="rId49" w:history="1">
        <w:r w:rsidR="004C5B7C" w:rsidRPr="00AD4D63">
          <w:rPr>
            <w:rStyle w:val="Hyperlink"/>
            <w:rFonts w:hint="eastAsia"/>
            <w:spacing w:val="-4"/>
            <w:rtl/>
          </w:rPr>
          <w:t>עע</w:t>
        </w:r>
        <w:r w:rsidR="004C5B7C" w:rsidRPr="00AD4D63">
          <w:rPr>
            <w:rStyle w:val="Hyperlink"/>
            <w:spacing w:val="-4"/>
            <w:rtl/>
          </w:rPr>
          <w:t>"מ 6464/03 לשכת שמאי המקרקעין בישראל נ' משרד המשפטים, פ"ד נח</w:t>
        </w:r>
      </w:hyperlink>
      <w:r w:rsidRPr="00BF001A">
        <w:rPr>
          <w:rFonts w:hint="cs"/>
          <w:spacing w:val="-4"/>
          <w:rtl/>
        </w:rPr>
        <w:t>(3) 293</w:t>
      </w:r>
      <w:r>
        <w:rPr>
          <w:rFonts w:hint="cs"/>
          <w:rtl/>
        </w:rPr>
        <w:t>.</w:t>
      </w:r>
    </w:p>
    <w:p w:rsidR="004B29EB" w:rsidRDefault="004B29EB">
      <w:pPr>
        <w:pStyle w:val="a1"/>
        <w:spacing w:line="260" w:lineRule="exact"/>
        <w:rPr>
          <w:rFonts w:hint="cs"/>
          <w:rtl/>
        </w:rPr>
      </w:pPr>
      <w:r>
        <w:rPr>
          <w:rFonts w:hint="cs"/>
          <w:rtl/>
        </w:rPr>
        <w:t>[6]</w:t>
      </w:r>
      <w:r>
        <w:rPr>
          <w:rFonts w:hint="cs"/>
          <w:rtl/>
        </w:rPr>
        <w:tab/>
      </w:r>
      <w:hyperlink r:id="rId50" w:history="1">
        <w:r w:rsidR="004C5B7C" w:rsidRPr="00AD4D63">
          <w:rPr>
            <w:rStyle w:val="Hyperlink"/>
            <w:rtl/>
          </w:rPr>
          <w:t>רע"א 6233/02</w:t>
        </w:r>
      </w:hyperlink>
      <w:r w:rsidRPr="004B29EB">
        <w:rPr>
          <w:rtl/>
        </w:rPr>
        <w:t xml:space="preserve"> </w:t>
      </w:r>
      <w:r w:rsidRPr="004B29EB">
        <w:rPr>
          <w:rFonts w:cs="Miriam"/>
          <w:szCs w:val="19"/>
          <w:rtl/>
        </w:rPr>
        <w:t>אקסטל בע"מ נ' קאלמא ווי תעשיה, שיווק אלומיניום זכוכית ופרזול בע"מ</w:t>
      </w:r>
      <w:r w:rsidRPr="004B29EB">
        <w:rPr>
          <w:rtl/>
        </w:rPr>
        <w:t>, פ"ד נח(2) 634.</w:t>
      </w:r>
    </w:p>
    <w:p w:rsidR="003D631E" w:rsidRDefault="003D631E">
      <w:pPr>
        <w:pStyle w:val="a1"/>
        <w:spacing w:line="260" w:lineRule="exact"/>
        <w:rPr>
          <w:rFonts w:hint="cs"/>
          <w:rtl/>
        </w:rPr>
      </w:pPr>
      <w:r>
        <w:rPr>
          <w:rFonts w:hint="cs"/>
          <w:rtl/>
        </w:rPr>
        <w:t>[7]</w:t>
      </w:r>
      <w:r>
        <w:rPr>
          <w:rFonts w:hint="cs"/>
          <w:rtl/>
        </w:rPr>
        <w:tab/>
      </w:r>
      <w:hyperlink r:id="rId51" w:history="1">
        <w:r w:rsidR="004C5B7C" w:rsidRPr="00AD4D63">
          <w:rPr>
            <w:rStyle w:val="Hyperlink"/>
            <w:spacing w:val="-4"/>
            <w:rtl/>
          </w:rPr>
          <w:t>ע"א 3901/96 הוועדה המקומית לתכנון ולבנייה, רעננה נ' הורוויץ, פ"ד נו</w:t>
        </w:r>
      </w:hyperlink>
      <w:r w:rsidRPr="00BF001A">
        <w:rPr>
          <w:spacing w:val="-4"/>
          <w:rtl/>
        </w:rPr>
        <w:t>(4) 913</w:t>
      </w:r>
      <w:r>
        <w:rPr>
          <w:rFonts w:hint="cs"/>
          <w:rtl/>
        </w:rPr>
        <w:t>.</w:t>
      </w:r>
    </w:p>
    <w:p w:rsidR="009F4FD9" w:rsidRDefault="009F4FD9">
      <w:pPr>
        <w:pStyle w:val="a1"/>
        <w:spacing w:line="260" w:lineRule="exact"/>
        <w:rPr>
          <w:rFonts w:hint="cs"/>
          <w:rtl/>
        </w:rPr>
      </w:pPr>
      <w:r>
        <w:rPr>
          <w:rFonts w:hint="cs"/>
          <w:rtl/>
        </w:rPr>
        <w:t>[8]</w:t>
      </w:r>
      <w:r>
        <w:rPr>
          <w:rFonts w:hint="cs"/>
          <w:rtl/>
        </w:rPr>
        <w:tab/>
      </w:r>
      <w:hyperlink r:id="rId52" w:history="1">
        <w:r w:rsidR="004C5B7C" w:rsidRPr="00AD4D63">
          <w:rPr>
            <w:rStyle w:val="Hyperlink"/>
            <w:rFonts w:hint="eastAsia"/>
            <w:rtl/>
          </w:rPr>
          <w:t>ע</w:t>
        </w:r>
        <w:r w:rsidR="004C5B7C" w:rsidRPr="00AD4D63">
          <w:rPr>
            <w:rStyle w:val="Hyperlink"/>
            <w:rtl/>
          </w:rPr>
          <w:t>"פ 45/49 מפן נ' היועץ המשפטי, פ"ד ד</w:t>
        </w:r>
      </w:hyperlink>
      <w:r w:rsidRPr="00417F6B">
        <w:rPr>
          <w:rFonts w:hint="cs"/>
          <w:rtl/>
        </w:rPr>
        <w:t xml:space="preserve"> 123</w:t>
      </w:r>
      <w:r>
        <w:rPr>
          <w:rFonts w:hint="cs"/>
          <w:rtl/>
        </w:rPr>
        <w:t>.</w:t>
      </w:r>
    </w:p>
    <w:p w:rsidR="009F4FD9" w:rsidRDefault="009F4FD9">
      <w:pPr>
        <w:pStyle w:val="a1"/>
        <w:spacing w:line="260" w:lineRule="exact"/>
        <w:rPr>
          <w:rFonts w:hint="cs"/>
          <w:rtl/>
        </w:rPr>
      </w:pPr>
      <w:r>
        <w:rPr>
          <w:rFonts w:hint="cs"/>
          <w:rtl/>
        </w:rPr>
        <w:t>[9]</w:t>
      </w:r>
      <w:r>
        <w:rPr>
          <w:rFonts w:hint="cs"/>
          <w:rtl/>
        </w:rPr>
        <w:tab/>
      </w:r>
      <w:hyperlink r:id="rId53" w:history="1">
        <w:r w:rsidR="004C5B7C" w:rsidRPr="00AD4D63">
          <w:rPr>
            <w:rStyle w:val="Hyperlink"/>
            <w:rFonts w:hint="eastAsia"/>
            <w:rtl/>
          </w:rPr>
          <w:t>ע</w:t>
        </w:r>
        <w:r w:rsidR="004C5B7C" w:rsidRPr="00AD4D63">
          <w:rPr>
            <w:rStyle w:val="Hyperlink"/>
            <w:rtl/>
          </w:rPr>
          <w:t>"פ 839/78 מדינת ישראל נ' אבני, פ"ד לג</w:t>
        </w:r>
      </w:hyperlink>
      <w:r w:rsidRPr="00417F6B">
        <w:rPr>
          <w:rFonts w:hint="cs"/>
          <w:rtl/>
        </w:rPr>
        <w:t>(3) 821</w:t>
      </w:r>
      <w:r w:rsidR="0027052B">
        <w:rPr>
          <w:rFonts w:hint="cs"/>
          <w:rtl/>
        </w:rPr>
        <w:t>.</w:t>
      </w:r>
    </w:p>
    <w:p w:rsidR="0027052B" w:rsidRDefault="0027052B">
      <w:pPr>
        <w:pStyle w:val="a1"/>
        <w:spacing w:line="260" w:lineRule="exact"/>
        <w:rPr>
          <w:rFonts w:hint="cs"/>
          <w:rtl/>
        </w:rPr>
      </w:pPr>
      <w:r>
        <w:rPr>
          <w:rFonts w:hint="cs"/>
          <w:rtl/>
        </w:rPr>
        <w:t>[10]</w:t>
      </w:r>
      <w:r>
        <w:rPr>
          <w:rFonts w:hint="cs"/>
          <w:rtl/>
        </w:rPr>
        <w:tab/>
      </w:r>
      <w:hyperlink r:id="rId54" w:history="1">
        <w:r w:rsidR="004C5B7C" w:rsidRPr="00AD4D63">
          <w:rPr>
            <w:rStyle w:val="Hyperlink"/>
            <w:rFonts w:hint="eastAsia"/>
            <w:rtl/>
          </w:rPr>
          <w:t>ע</w:t>
        </w:r>
        <w:r w:rsidR="004C5B7C" w:rsidRPr="00AD4D63">
          <w:rPr>
            <w:rStyle w:val="Hyperlink"/>
            <w:rtl/>
          </w:rPr>
          <w:t>"פ 4596/98 פלונית נ' מדינת ישראל, פ"ד נד</w:t>
        </w:r>
      </w:hyperlink>
      <w:r w:rsidRPr="00417F6B">
        <w:rPr>
          <w:rFonts w:hint="cs"/>
          <w:rtl/>
        </w:rPr>
        <w:t>(1) 145</w:t>
      </w:r>
      <w:r>
        <w:rPr>
          <w:rFonts w:hint="cs"/>
          <w:rtl/>
        </w:rPr>
        <w:t>.</w:t>
      </w:r>
    </w:p>
    <w:p w:rsidR="0027052B" w:rsidRDefault="0027052B">
      <w:pPr>
        <w:pStyle w:val="a1"/>
        <w:spacing w:line="260" w:lineRule="exact"/>
        <w:rPr>
          <w:rFonts w:hint="cs"/>
          <w:rtl/>
        </w:rPr>
      </w:pPr>
      <w:r>
        <w:rPr>
          <w:rFonts w:hint="cs"/>
          <w:rtl/>
        </w:rPr>
        <w:t>[11]</w:t>
      </w:r>
      <w:r>
        <w:rPr>
          <w:rFonts w:hint="cs"/>
          <w:rtl/>
        </w:rPr>
        <w:tab/>
      </w:r>
      <w:hyperlink r:id="rId55" w:history="1">
        <w:r w:rsidR="004C5B7C" w:rsidRPr="00AD4D63">
          <w:rPr>
            <w:rStyle w:val="Hyperlink"/>
            <w:rtl/>
          </w:rPr>
          <w:t>ע"פ 807/99 מדינת ישראל נ' עזיזיאן, פ"ד נג</w:t>
        </w:r>
      </w:hyperlink>
      <w:r w:rsidRPr="0027052B">
        <w:rPr>
          <w:rtl/>
        </w:rPr>
        <w:t>(5) 747.</w:t>
      </w:r>
    </w:p>
    <w:p w:rsidR="00CF6A04" w:rsidRDefault="00CF6A04">
      <w:pPr>
        <w:pStyle w:val="a1"/>
        <w:spacing w:line="260" w:lineRule="exact"/>
        <w:rPr>
          <w:rFonts w:hint="cs"/>
          <w:rtl/>
        </w:rPr>
      </w:pPr>
      <w:r>
        <w:rPr>
          <w:rFonts w:hint="cs"/>
          <w:rtl/>
        </w:rPr>
        <w:t>[12]</w:t>
      </w:r>
      <w:r>
        <w:rPr>
          <w:rFonts w:hint="cs"/>
          <w:rtl/>
        </w:rPr>
        <w:tab/>
      </w:r>
      <w:hyperlink r:id="rId56" w:history="1">
        <w:r w:rsidR="004C5B7C" w:rsidRPr="00AD4D63">
          <w:rPr>
            <w:rStyle w:val="Hyperlink"/>
            <w:rFonts w:hint="eastAsia"/>
            <w:rtl/>
            <w:lang w:eastAsia="en-US"/>
          </w:rPr>
          <w:t>רע</w:t>
        </w:r>
        <w:r w:rsidR="004C5B7C" w:rsidRPr="00AD4D63">
          <w:rPr>
            <w:rStyle w:val="Hyperlink"/>
            <w:rtl/>
            <w:lang w:eastAsia="en-US"/>
          </w:rPr>
          <w:t>"פ 2788/00 נמר נ' מדינת ישראל, פ"ד נד</w:t>
        </w:r>
      </w:hyperlink>
      <w:r w:rsidRPr="00CF6A04">
        <w:rPr>
          <w:rStyle w:val="Ruller50"/>
          <w:rFonts w:ascii="Times New Roman" w:hAnsi="Times New Roman" w:hint="cs"/>
          <w:spacing w:val="0"/>
          <w:sz w:val="20"/>
          <w:szCs w:val="24"/>
          <w:rtl/>
        </w:rPr>
        <w:t>(3) 385</w:t>
      </w:r>
      <w:r>
        <w:rPr>
          <w:rStyle w:val="Ruller50"/>
          <w:rFonts w:ascii="Times New Roman" w:hAnsi="Times New Roman" w:hint="cs"/>
          <w:spacing w:val="0"/>
          <w:sz w:val="20"/>
          <w:szCs w:val="24"/>
          <w:rtl/>
        </w:rPr>
        <w:t>.</w:t>
      </w:r>
    </w:p>
    <w:p w:rsidR="00CF6A04" w:rsidRDefault="00CF6A04" w:rsidP="00A615D7">
      <w:pPr>
        <w:pStyle w:val="a1"/>
        <w:spacing w:line="250" w:lineRule="exact"/>
        <w:rPr>
          <w:rFonts w:hint="cs"/>
          <w:rtl/>
        </w:rPr>
      </w:pPr>
      <w:r>
        <w:rPr>
          <w:rFonts w:hint="cs"/>
          <w:rtl/>
        </w:rPr>
        <w:t>[13]</w:t>
      </w:r>
      <w:r>
        <w:rPr>
          <w:rFonts w:hint="cs"/>
          <w:rtl/>
        </w:rPr>
        <w:tab/>
      </w:r>
      <w:hyperlink r:id="rId57" w:history="1">
        <w:r w:rsidR="004C5B7C" w:rsidRPr="00AD4D63">
          <w:rPr>
            <w:rStyle w:val="Hyperlink"/>
            <w:rFonts w:hint="eastAsia"/>
            <w:rtl/>
          </w:rPr>
          <w:t>ע</w:t>
        </w:r>
        <w:r w:rsidR="004C5B7C" w:rsidRPr="00AD4D63">
          <w:rPr>
            <w:rStyle w:val="Hyperlink"/>
            <w:rtl/>
          </w:rPr>
          <w:t>"פ 4675/97 רוזוב נ' מדינת ישראל, פ"ד נג</w:t>
        </w:r>
      </w:hyperlink>
      <w:r w:rsidRPr="00417F6B">
        <w:rPr>
          <w:rFonts w:hint="cs"/>
          <w:rtl/>
        </w:rPr>
        <w:t xml:space="preserve">(4) </w:t>
      </w:r>
      <w:r w:rsidRPr="008E5B95">
        <w:rPr>
          <w:rFonts w:hint="cs"/>
          <w:rtl/>
        </w:rPr>
        <w:t>337</w:t>
      </w:r>
      <w:r>
        <w:rPr>
          <w:rFonts w:hint="cs"/>
          <w:rtl/>
        </w:rPr>
        <w:t>.</w:t>
      </w:r>
    </w:p>
    <w:p w:rsidR="008F0000" w:rsidRDefault="008F0000" w:rsidP="00A615D7">
      <w:pPr>
        <w:pStyle w:val="a1"/>
        <w:spacing w:line="250" w:lineRule="exact"/>
        <w:rPr>
          <w:rFonts w:hint="cs"/>
          <w:rtl/>
        </w:rPr>
      </w:pPr>
      <w:r>
        <w:rPr>
          <w:rFonts w:hint="cs"/>
          <w:rtl/>
        </w:rPr>
        <w:t>[14]</w:t>
      </w:r>
      <w:r>
        <w:rPr>
          <w:rFonts w:hint="cs"/>
          <w:rtl/>
        </w:rPr>
        <w:tab/>
      </w:r>
      <w:hyperlink r:id="rId58" w:history="1">
        <w:r w:rsidR="004C5B7C" w:rsidRPr="00AD4D63">
          <w:rPr>
            <w:rStyle w:val="Hyperlink"/>
            <w:rFonts w:hint="eastAsia"/>
            <w:rtl/>
          </w:rPr>
          <w:t>ע</w:t>
        </w:r>
        <w:r w:rsidR="004C5B7C" w:rsidRPr="00AD4D63">
          <w:rPr>
            <w:rStyle w:val="Hyperlink"/>
            <w:rtl/>
          </w:rPr>
          <w:t>"פ 4855/02 מדינת ישראל נ' בורוביץ, פ"ד נט</w:t>
        </w:r>
      </w:hyperlink>
      <w:r>
        <w:rPr>
          <w:rFonts w:hint="cs"/>
          <w:rtl/>
        </w:rPr>
        <w:t>(6) 776.</w:t>
      </w:r>
    </w:p>
    <w:p w:rsidR="00D673B8" w:rsidRDefault="00D673B8" w:rsidP="00A615D7">
      <w:pPr>
        <w:pStyle w:val="a1"/>
        <w:spacing w:line="250" w:lineRule="exact"/>
        <w:rPr>
          <w:rFonts w:hint="cs"/>
          <w:rtl/>
        </w:rPr>
      </w:pPr>
      <w:r>
        <w:rPr>
          <w:rFonts w:hint="cs"/>
          <w:rtl/>
        </w:rPr>
        <w:t>[15]</w:t>
      </w:r>
      <w:r>
        <w:rPr>
          <w:rFonts w:hint="cs"/>
          <w:rtl/>
        </w:rPr>
        <w:tab/>
      </w:r>
      <w:hyperlink r:id="rId59" w:history="1">
        <w:r w:rsidR="004C5B7C" w:rsidRPr="00AD4D63">
          <w:rPr>
            <w:rStyle w:val="Hyperlink"/>
            <w:spacing w:val="-6"/>
            <w:rtl/>
          </w:rPr>
          <w:t>ע"פ 1042/03 מצרפלס שותפות מוגבלת בע"מ (1974) נ' מדינת ישראל, פ"ד נח</w:t>
        </w:r>
      </w:hyperlink>
      <w:r w:rsidRPr="00BF001A">
        <w:rPr>
          <w:spacing w:val="-6"/>
          <w:rtl/>
        </w:rPr>
        <w:t>(1) 721</w:t>
      </w:r>
      <w:r w:rsidRPr="00D673B8">
        <w:rPr>
          <w:rtl/>
        </w:rPr>
        <w:t>.</w:t>
      </w:r>
    </w:p>
    <w:p w:rsidR="00D673B8" w:rsidRDefault="00D673B8" w:rsidP="00A615D7">
      <w:pPr>
        <w:pStyle w:val="a1"/>
        <w:spacing w:line="250" w:lineRule="exact"/>
        <w:rPr>
          <w:rFonts w:hint="cs"/>
          <w:rtl/>
        </w:rPr>
      </w:pPr>
      <w:r>
        <w:rPr>
          <w:rFonts w:hint="cs"/>
          <w:rtl/>
        </w:rPr>
        <w:t>[16]</w:t>
      </w:r>
      <w:r>
        <w:rPr>
          <w:rFonts w:hint="cs"/>
          <w:rtl/>
        </w:rPr>
        <w:tab/>
      </w:r>
      <w:hyperlink r:id="rId60" w:history="1">
        <w:r w:rsidR="004C5B7C" w:rsidRPr="00AD4D63">
          <w:rPr>
            <w:rStyle w:val="Hyperlink"/>
            <w:rFonts w:hint="eastAsia"/>
            <w:rtl/>
          </w:rPr>
          <w:t>דנ</w:t>
        </w:r>
        <w:r w:rsidR="004C5B7C" w:rsidRPr="00AD4D63">
          <w:rPr>
            <w:rStyle w:val="Hyperlink"/>
            <w:rtl/>
          </w:rPr>
          <w:t>"א 3113/03</w:t>
        </w:r>
      </w:hyperlink>
      <w:r w:rsidRPr="00417F6B">
        <w:rPr>
          <w:rFonts w:hint="cs"/>
          <w:rtl/>
        </w:rPr>
        <w:t xml:space="preserve"> </w:t>
      </w:r>
      <w:r w:rsidRPr="00D673B8">
        <w:rPr>
          <w:rFonts w:cs="Miriam"/>
          <w:szCs w:val="19"/>
          <w:rtl/>
        </w:rPr>
        <w:t>א.מ. חנויות (ירושלים) (1993) בע"מ נ' עירית ירושלים</w:t>
      </w:r>
      <w:r w:rsidRPr="00D673B8">
        <w:rPr>
          <w:rtl/>
        </w:rPr>
        <w:t xml:space="preserve"> </w:t>
      </w:r>
      <w:r w:rsidR="00BF001A">
        <w:rPr>
          <w:rFonts w:hint="cs"/>
          <w:rtl/>
        </w:rPr>
        <w:br/>
      </w:r>
      <w:r w:rsidRPr="00D673B8">
        <w:rPr>
          <w:rtl/>
        </w:rPr>
        <w:t>(לא פורסם)</w:t>
      </w:r>
      <w:r>
        <w:rPr>
          <w:rFonts w:hint="cs"/>
          <w:rtl/>
        </w:rPr>
        <w:t>.</w:t>
      </w:r>
    </w:p>
    <w:p w:rsidR="0039756C" w:rsidRDefault="0039756C" w:rsidP="00A615D7">
      <w:pPr>
        <w:pStyle w:val="a1"/>
        <w:spacing w:line="250" w:lineRule="exact"/>
        <w:rPr>
          <w:rFonts w:hint="cs"/>
          <w:rtl/>
        </w:rPr>
      </w:pPr>
      <w:r>
        <w:rPr>
          <w:rFonts w:hint="cs"/>
          <w:rtl/>
        </w:rPr>
        <w:t>[17]</w:t>
      </w:r>
      <w:r>
        <w:rPr>
          <w:rFonts w:hint="cs"/>
          <w:rtl/>
        </w:rPr>
        <w:tab/>
      </w:r>
      <w:hyperlink r:id="rId61" w:history="1">
        <w:r w:rsidR="004C5B7C" w:rsidRPr="00AD4D63">
          <w:rPr>
            <w:rStyle w:val="Hyperlink"/>
            <w:rFonts w:hint="eastAsia"/>
            <w:rtl/>
          </w:rPr>
          <w:t>ע</w:t>
        </w:r>
        <w:r w:rsidR="004C5B7C" w:rsidRPr="00AD4D63">
          <w:rPr>
            <w:rStyle w:val="Hyperlink"/>
            <w:rtl/>
          </w:rPr>
          <w:t>"א 6222/97 טבעול (1993) בע"מ נ' משרד הביטחון, מינהל ההרכשה והייצור, פ"ד נב</w:t>
        </w:r>
      </w:hyperlink>
      <w:r>
        <w:rPr>
          <w:rFonts w:hint="cs"/>
          <w:rtl/>
        </w:rPr>
        <w:t>(3) 145.</w:t>
      </w:r>
    </w:p>
    <w:p w:rsidR="005A59D3" w:rsidRDefault="005A59D3" w:rsidP="00A615D7">
      <w:pPr>
        <w:pStyle w:val="a1"/>
        <w:spacing w:line="250" w:lineRule="exact"/>
        <w:rPr>
          <w:rFonts w:hint="cs"/>
          <w:rtl/>
        </w:rPr>
      </w:pPr>
      <w:r>
        <w:rPr>
          <w:rFonts w:hint="cs"/>
          <w:rtl/>
        </w:rPr>
        <w:t>[18]</w:t>
      </w:r>
      <w:r>
        <w:rPr>
          <w:rFonts w:hint="cs"/>
          <w:rtl/>
        </w:rPr>
        <w:tab/>
      </w:r>
      <w:hyperlink r:id="rId62" w:history="1">
        <w:r w:rsidR="004C5B7C" w:rsidRPr="00AD4D63">
          <w:rPr>
            <w:rStyle w:val="Hyperlink"/>
            <w:rFonts w:hint="eastAsia"/>
            <w:rtl/>
          </w:rPr>
          <w:t>ע</w:t>
        </w:r>
        <w:r w:rsidR="004C5B7C" w:rsidRPr="00AD4D63">
          <w:rPr>
            <w:rStyle w:val="Hyperlink"/>
            <w:rtl/>
          </w:rPr>
          <w:t>"פ 4389/93 מרדכי נ' מדינת ישראל, פ"ד נ</w:t>
        </w:r>
      </w:hyperlink>
      <w:r>
        <w:rPr>
          <w:rFonts w:hint="cs"/>
          <w:rtl/>
        </w:rPr>
        <w:t>(3) 239.</w:t>
      </w:r>
    </w:p>
    <w:p w:rsidR="005A59D3" w:rsidRDefault="005A59D3" w:rsidP="00A615D7">
      <w:pPr>
        <w:pStyle w:val="a1"/>
        <w:spacing w:line="250" w:lineRule="exact"/>
        <w:rPr>
          <w:rFonts w:hint="cs"/>
          <w:rtl/>
        </w:rPr>
      </w:pPr>
      <w:r>
        <w:rPr>
          <w:rFonts w:hint="cs"/>
          <w:rtl/>
        </w:rPr>
        <w:t>[19]</w:t>
      </w:r>
      <w:r>
        <w:rPr>
          <w:rFonts w:hint="cs"/>
          <w:rtl/>
        </w:rPr>
        <w:tab/>
      </w:r>
      <w:hyperlink r:id="rId63" w:history="1">
        <w:r w:rsidR="004C5B7C" w:rsidRPr="00AD4D63">
          <w:rPr>
            <w:rStyle w:val="Hyperlink"/>
            <w:rFonts w:hint="eastAsia"/>
            <w:rtl/>
          </w:rPr>
          <w:t>ע</w:t>
        </w:r>
        <w:r w:rsidR="004C5B7C" w:rsidRPr="00AD4D63">
          <w:rPr>
            <w:rStyle w:val="Hyperlink"/>
            <w:rtl/>
          </w:rPr>
          <w:t>"פ 7085/93 נג'אר נ' מדינת ישראל, פ"ד נא</w:t>
        </w:r>
      </w:hyperlink>
      <w:r>
        <w:rPr>
          <w:rFonts w:hint="cs"/>
          <w:rtl/>
        </w:rPr>
        <w:t>(4) 221.</w:t>
      </w:r>
    </w:p>
    <w:p w:rsidR="00D8563F" w:rsidRDefault="00D8563F" w:rsidP="00A615D7">
      <w:pPr>
        <w:pStyle w:val="a1"/>
        <w:spacing w:line="250" w:lineRule="exact"/>
        <w:rPr>
          <w:rFonts w:hint="cs"/>
          <w:rtl/>
        </w:rPr>
      </w:pPr>
      <w:r>
        <w:rPr>
          <w:rFonts w:hint="cs"/>
          <w:rtl/>
        </w:rPr>
        <w:t>[20]</w:t>
      </w:r>
      <w:r>
        <w:rPr>
          <w:rFonts w:hint="cs"/>
          <w:rtl/>
        </w:rPr>
        <w:tab/>
      </w:r>
      <w:hyperlink r:id="rId64" w:history="1">
        <w:r w:rsidR="004C5B7C" w:rsidRPr="004C5B7C">
          <w:rPr>
            <w:rStyle w:val="Hyperlink"/>
            <w:rFonts w:hint="eastAsia"/>
            <w:rtl/>
          </w:rPr>
          <w:t>ע</w:t>
        </w:r>
        <w:r w:rsidR="004C5B7C" w:rsidRPr="004C5B7C">
          <w:rPr>
            <w:rStyle w:val="Hyperlink"/>
            <w:rtl/>
          </w:rPr>
          <w:t>"פ 320/99 פלונית נ' מדינת ישראל, פ"ד נה</w:t>
        </w:r>
      </w:hyperlink>
      <w:r>
        <w:rPr>
          <w:rFonts w:hint="cs"/>
          <w:rtl/>
        </w:rPr>
        <w:t>(3) 22.</w:t>
      </w:r>
    </w:p>
    <w:p w:rsidR="00D8563F" w:rsidRDefault="00D8563F" w:rsidP="00A615D7">
      <w:pPr>
        <w:pStyle w:val="a1"/>
        <w:spacing w:line="250" w:lineRule="exact"/>
        <w:rPr>
          <w:rFonts w:hint="cs"/>
          <w:rtl/>
        </w:rPr>
      </w:pPr>
      <w:r>
        <w:rPr>
          <w:rFonts w:hint="cs"/>
          <w:rtl/>
        </w:rPr>
        <w:t>[21]</w:t>
      </w:r>
      <w:r>
        <w:rPr>
          <w:rFonts w:hint="cs"/>
          <w:rtl/>
        </w:rPr>
        <w:tab/>
      </w:r>
      <w:hyperlink r:id="rId65" w:history="1">
        <w:r w:rsidR="004C5B7C" w:rsidRPr="00AD4D63">
          <w:rPr>
            <w:rStyle w:val="Hyperlink"/>
            <w:rFonts w:hint="eastAsia"/>
            <w:rtl/>
          </w:rPr>
          <w:t>ע</w:t>
        </w:r>
        <w:r w:rsidR="004C5B7C" w:rsidRPr="00AD4D63">
          <w:rPr>
            <w:rStyle w:val="Hyperlink"/>
            <w:rtl/>
          </w:rPr>
          <w:t>"פ 8710/96 מרקדו נ' מדינת ישראל, פ"ד נא</w:t>
        </w:r>
      </w:hyperlink>
      <w:r>
        <w:rPr>
          <w:rFonts w:hint="cs"/>
          <w:rtl/>
        </w:rPr>
        <w:t>(5) 481.</w:t>
      </w:r>
    </w:p>
    <w:p w:rsidR="00C96A60" w:rsidRDefault="00C96A60" w:rsidP="00A615D7">
      <w:pPr>
        <w:pStyle w:val="a1"/>
        <w:spacing w:line="250" w:lineRule="exact"/>
        <w:rPr>
          <w:rFonts w:hint="cs"/>
          <w:rtl/>
        </w:rPr>
      </w:pPr>
      <w:r>
        <w:rPr>
          <w:rFonts w:hint="cs"/>
          <w:rtl/>
        </w:rPr>
        <w:t>[22]</w:t>
      </w:r>
      <w:r>
        <w:rPr>
          <w:rFonts w:hint="cs"/>
          <w:rtl/>
        </w:rPr>
        <w:tab/>
      </w:r>
      <w:hyperlink r:id="rId66" w:history="1">
        <w:r w:rsidR="004C5B7C" w:rsidRPr="00AD4D63">
          <w:rPr>
            <w:rStyle w:val="Hyperlink"/>
            <w:rFonts w:hint="eastAsia"/>
            <w:sz w:val="28"/>
            <w:rtl/>
          </w:rPr>
          <w:t>ע</w:t>
        </w:r>
        <w:r w:rsidR="004C5B7C" w:rsidRPr="00AD4D63">
          <w:rPr>
            <w:rStyle w:val="Hyperlink"/>
            <w:sz w:val="28"/>
            <w:rtl/>
          </w:rPr>
          <w:t>"פ 11131/02 יוסופוב נ' מדינת ישראל, פ"ד נח</w:t>
        </w:r>
      </w:hyperlink>
      <w:r>
        <w:rPr>
          <w:rFonts w:hint="cs"/>
          <w:sz w:val="28"/>
          <w:rtl/>
        </w:rPr>
        <w:t>(3) 917.</w:t>
      </w:r>
    </w:p>
    <w:p w:rsidR="00DD38BF" w:rsidRDefault="00DD38BF" w:rsidP="00A615D7">
      <w:pPr>
        <w:pStyle w:val="a1"/>
        <w:spacing w:line="250" w:lineRule="exact"/>
        <w:rPr>
          <w:rFonts w:hint="cs"/>
          <w:rtl/>
        </w:rPr>
      </w:pPr>
      <w:r>
        <w:rPr>
          <w:rFonts w:hint="cs"/>
          <w:rtl/>
        </w:rPr>
        <w:t>[23]</w:t>
      </w:r>
      <w:r>
        <w:rPr>
          <w:rFonts w:hint="cs"/>
          <w:rtl/>
        </w:rPr>
        <w:tab/>
      </w:r>
      <w:hyperlink r:id="rId67" w:history="1">
        <w:r w:rsidR="004C5B7C" w:rsidRPr="00AD4D63">
          <w:rPr>
            <w:rStyle w:val="Hyperlink"/>
            <w:rFonts w:hint="eastAsia"/>
            <w:rtl/>
          </w:rPr>
          <w:t>ע</w:t>
        </w:r>
        <w:r w:rsidR="004C5B7C" w:rsidRPr="00AD4D63">
          <w:rPr>
            <w:rStyle w:val="Hyperlink"/>
            <w:rtl/>
          </w:rPr>
          <w:t>"פ 26/66 חמאד נ' היועץ המשפטי לממשלה, פ"ד כ</w:t>
        </w:r>
      </w:hyperlink>
      <w:r w:rsidRPr="00DA5C4E">
        <w:rPr>
          <w:rFonts w:hint="cs"/>
          <w:rtl/>
        </w:rPr>
        <w:t>(3) 57</w:t>
      </w:r>
      <w:r>
        <w:rPr>
          <w:rFonts w:hint="cs"/>
          <w:rtl/>
        </w:rPr>
        <w:t>.</w:t>
      </w:r>
    </w:p>
    <w:p w:rsidR="00DD38BF" w:rsidRPr="00D673B8" w:rsidRDefault="00DD38BF" w:rsidP="00A615D7">
      <w:pPr>
        <w:pStyle w:val="a1"/>
        <w:spacing w:line="250" w:lineRule="exact"/>
        <w:rPr>
          <w:rFonts w:hint="cs"/>
          <w:rtl/>
        </w:rPr>
      </w:pPr>
      <w:r>
        <w:rPr>
          <w:rFonts w:hint="cs"/>
          <w:rtl/>
        </w:rPr>
        <w:t>[24]</w:t>
      </w:r>
      <w:r>
        <w:rPr>
          <w:rFonts w:hint="cs"/>
          <w:rtl/>
        </w:rPr>
        <w:tab/>
      </w:r>
      <w:hyperlink r:id="rId68" w:history="1">
        <w:r w:rsidR="004C5B7C" w:rsidRPr="00AD4D63">
          <w:rPr>
            <w:rStyle w:val="Hyperlink"/>
            <w:rFonts w:hint="eastAsia"/>
            <w:rtl/>
          </w:rPr>
          <w:t>ע</w:t>
        </w:r>
        <w:r w:rsidR="004C5B7C" w:rsidRPr="00AD4D63">
          <w:rPr>
            <w:rStyle w:val="Hyperlink"/>
            <w:rtl/>
          </w:rPr>
          <w:t>"פ 257/79 סווירי נ' מדינת ישראל, פ"ד לד</w:t>
        </w:r>
      </w:hyperlink>
      <w:r w:rsidRPr="00DA5C4E">
        <w:rPr>
          <w:rFonts w:hint="cs"/>
          <w:rtl/>
        </w:rPr>
        <w:t>(3) 757</w:t>
      </w:r>
      <w:r w:rsidR="00860B7E">
        <w:rPr>
          <w:rFonts w:hint="cs"/>
          <w:rtl/>
        </w:rPr>
        <w:t>.</w:t>
      </w:r>
    </w:p>
    <w:p w:rsidR="00856CE0" w:rsidRDefault="00856CE0" w:rsidP="00BF001A">
      <w:pPr>
        <w:pStyle w:val="a1"/>
        <w:spacing w:before="240" w:line="260" w:lineRule="exact"/>
        <w:rPr>
          <w:rFonts w:hint="cs"/>
          <w:rtl/>
        </w:rPr>
      </w:pPr>
      <w:r>
        <w:rPr>
          <w:rFonts w:hint="cs"/>
          <w:rtl/>
        </w:rPr>
        <w:t>פסקי דין של בתי המשפט המחוזיים שאוזכרו:</w:t>
      </w:r>
    </w:p>
    <w:p w:rsidR="00856CE0" w:rsidRDefault="00856CE0">
      <w:pPr>
        <w:pStyle w:val="a1"/>
        <w:spacing w:line="260" w:lineRule="exact"/>
        <w:rPr>
          <w:rFonts w:hint="cs"/>
          <w:rtl/>
        </w:rPr>
      </w:pPr>
      <w:r>
        <w:rPr>
          <w:rFonts w:hint="cs"/>
          <w:rtl/>
        </w:rPr>
        <w:t>[</w:t>
      </w:r>
      <w:r w:rsidR="00BF001A">
        <w:rPr>
          <w:rFonts w:hint="cs"/>
          <w:rtl/>
        </w:rPr>
        <w:t>25</w:t>
      </w:r>
      <w:r>
        <w:rPr>
          <w:rFonts w:hint="cs"/>
          <w:rtl/>
        </w:rPr>
        <w:t>]</w:t>
      </w:r>
      <w:r>
        <w:rPr>
          <w:rFonts w:hint="cs"/>
          <w:rtl/>
        </w:rPr>
        <w:tab/>
      </w:r>
      <w:hyperlink r:id="rId69" w:history="1">
        <w:r w:rsidR="004C5B7C" w:rsidRPr="004C5B7C">
          <w:rPr>
            <w:rStyle w:val="Hyperlink"/>
            <w:rFonts w:hint="eastAsia"/>
            <w:rtl/>
          </w:rPr>
          <w:t>ת</w:t>
        </w:r>
        <w:r w:rsidR="004C5B7C" w:rsidRPr="004C5B7C">
          <w:rPr>
            <w:rStyle w:val="Hyperlink"/>
            <w:rtl/>
          </w:rPr>
          <w:t>"פ (י-ם) 287/98</w:t>
        </w:r>
      </w:hyperlink>
      <w:r>
        <w:rPr>
          <w:rFonts w:hint="cs"/>
          <w:rtl/>
        </w:rPr>
        <w:t xml:space="preserve"> </w:t>
      </w:r>
      <w:r w:rsidRPr="00856CE0">
        <w:rPr>
          <w:rFonts w:cs="Miriam" w:hint="cs"/>
          <w:szCs w:val="19"/>
          <w:rtl/>
        </w:rPr>
        <w:t>מדינת ישראל נ' מנורה (רמזורים) בע"מ</w:t>
      </w:r>
      <w:r>
        <w:rPr>
          <w:rFonts w:hint="cs"/>
          <w:rtl/>
        </w:rPr>
        <w:t>, פ"מ תשס"ג(1) 245.</w:t>
      </w:r>
    </w:p>
    <w:p w:rsidR="00BF001A" w:rsidRDefault="00BF001A">
      <w:pPr>
        <w:pStyle w:val="a1"/>
        <w:spacing w:line="260" w:lineRule="exact"/>
        <w:rPr>
          <w:rFonts w:hint="cs"/>
          <w:rtl/>
        </w:rPr>
      </w:pPr>
      <w:r>
        <w:rPr>
          <w:rFonts w:hint="cs"/>
          <w:rtl/>
        </w:rPr>
        <w:t>[26]</w:t>
      </w:r>
      <w:r>
        <w:rPr>
          <w:rFonts w:hint="cs"/>
          <w:rtl/>
        </w:rPr>
        <w:tab/>
      </w:r>
      <w:hyperlink r:id="rId70" w:history="1">
        <w:r w:rsidR="004C5B7C" w:rsidRPr="004C5B7C">
          <w:rPr>
            <w:rStyle w:val="Hyperlink"/>
            <w:rFonts w:hint="eastAsia"/>
            <w:rtl/>
          </w:rPr>
          <w:t>ת</w:t>
        </w:r>
        <w:r w:rsidR="004C5B7C" w:rsidRPr="004C5B7C">
          <w:rPr>
            <w:rStyle w:val="Hyperlink"/>
            <w:rtl/>
          </w:rPr>
          <w:t>"פ (י-ם) 385/98</w:t>
        </w:r>
      </w:hyperlink>
      <w:r>
        <w:rPr>
          <w:rFonts w:hint="cs"/>
          <w:rtl/>
        </w:rPr>
        <w:t xml:space="preserve"> </w:t>
      </w:r>
      <w:r w:rsidRPr="00BF001A">
        <w:rPr>
          <w:rFonts w:cs="Miriam" w:hint="cs"/>
          <w:szCs w:val="19"/>
          <w:rtl/>
        </w:rPr>
        <w:t xml:space="preserve">מדינת ישראל נ' חברת טגר בע"מ </w:t>
      </w:r>
      <w:r>
        <w:rPr>
          <w:rFonts w:hint="cs"/>
          <w:rtl/>
        </w:rPr>
        <w:t>(לא פורסם)</w:t>
      </w:r>
      <w:r w:rsidR="00860B7E">
        <w:rPr>
          <w:rFonts w:hint="cs"/>
          <w:rtl/>
        </w:rPr>
        <w:t>.</w:t>
      </w:r>
    </w:p>
    <w:p w:rsidR="005D17B1" w:rsidRDefault="00CD5C20" w:rsidP="00BF001A">
      <w:pPr>
        <w:pStyle w:val="a1"/>
        <w:spacing w:before="240" w:line="260" w:lineRule="exact"/>
        <w:rPr>
          <w:rFonts w:hint="cs"/>
          <w:rtl/>
        </w:rPr>
      </w:pPr>
      <w:r>
        <w:rPr>
          <w:rtl/>
        </w:rPr>
        <w:br w:type="page"/>
      </w:r>
      <w:r w:rsidR="00BF001A">
        <w:rPr>
          <w:rFonts w:hint="cs"/>
          <w:rtl/>
        </w:rPr>
        <w:t>ספרים ישראליים שאוזכרו:</w:t>
      </w:r>
    </w:p>
    <w:p w:rsidR="005D17B1" w:rsidRDefault="005D17B1">
      <w:pPr>
        <w:pStyle w:val="a1"/>
        <w:spacing w:line="260" w:lineRule="exact"/>
        <w:rPr>
          <w:rFonts w:hint="cs"/>
          <w:rtl/>
        </w:rPr>
      </w:pPr>
      <w:r>
        <w:rPr>
          <w:rFonts w:hint="cs"/>
          <w:rtl/>
        </w:rPr>
        <w:t>[</w:t>
      </w:r>
      <w:r w:rsidR="00BF001A">
        <w:rPr>
          <w:rFonts w:hint="cs"/>
          <w:rtl/>
        </w:rPr>
        <w:t>27</w:t>
      </w:r>
      <w:r>
        <w:rPr>
          <w:rFonts w:hint="cs"/>
          <w:rtl/>
        </w:rPr>
        <w:t>]</w:t>
      </w:r>
      <w:r>
        <w:rPr>
          <w:rFonts w:hint="cs"/>
          <w:rtl/>
        </w:rPr>
        <w:tab/>
        <w:t xml:space="preserve">י' יגור </w:t>
      </w:r>
      <w:r w:rsidRPr="005D17B1">
        <w:rPr>
          <w:rFonts w:cs="Miriam" w:hint="cs"/>
          <w:szCs w:val="19"/>
          <w:rtl/>
        </w:rPr>
        <w:t>דיני הגבלים עסקיים</w:t>
      </w:r>
      <w:r>
        <w:rPr>
          <w:rFonts w:hint="cs"/>
          <w:rtl/>
        </w:rPr>
        <w:t xml:space="preserve"> (מהדורה 2, תש"ס).</w:t>
      </w:r>
    </w:p>
    <w:p w:rsidR="005D17B1" w:rsidRDefault="009F4FD9">
      <w:pPr>
        <w:pStyle w:val="a1"/>
        <w:spacing w:line="260" w:lineRule="exact"/>
        <w:rPr>
          <w:rFonts w:hint="cs"/>
          <w:rtl/>
        </w:rPr>
      </w:pPr>
      <w:r>
        <w:rPr>
          <w:rFonts w:hint="cs"/>
          <w:rtl/>
        </w:rPr>
        <w:t>[</w:t>
      </w:r>
      <w:r w:rsidR="00BF001A">
        <w:rPr>
          <w:rFonts w:hint="cs"/>
          <w:rtl/>
        </w:rPr>
        <w:t>28</w:t>
      </w:r>
      <w:r>
        <w:rPr>
          <w:rFonts w:hint="cs"/>
          <w:rtl/>
        </w:rPr>
        <w:t>]</w:t>
      </w:r>
      <w:r>
        <w:rPr>
          <w:rFonts w:hint="cs"/>
          <w:rtl/>
        </w:rPr>
        <w:tab/>
      </w:r>
      <w:r w:rsidRPr="009F4FD9">
        <w:rPr>
          <w:rtl/>
        </w:rPr>
        <w:t xml:space="preserve">ש"ז </w:t>
      </w:r>
      <w:hyperlink r:id="rId71" w:history="1">
        <w:r w:rsidR="00AD4D63" w:rsidRPr="00AD4D63">
          <w:rPr>
            <w:rStyle w:val="Hyperlink"/>
            <w:rFonts w:cs="Miriam"/>
            <w:szCs w:val="19"/>
            <w:rtl/>
          </w:rPr>
          <w:t>פלר יסודות בדיני עונשין</w:t>
        </w:r>
      </w:hyperlink>
      <w:r w:rsidRPr="009F4FD9">
        <w:rPr>
          <w:rFonts w:cs="Miriam"/>
          <w:szCs w:val="19"/>
          <w:rtl/>
        </w:rPr>
        <w:t xml:space="preserve"> </w:t>
      </w:r>
      <w:r w:rsidRPr="009F4FD9">
        <w:rPr>
          <w:rtl/>
        </w:rPr>
        <w:t>(כרך ב, תשמ"ז).</w:t>
      </w:r>
    </w:p>
    <w:p w:rsidR="001019FA" w:rsidRDefault="001019FA">
      <w:pPr>
        <w:pStyle w:val="a1"/>
        <w:spacing w:line="260" w:lineRule="exact"/>
        <w:rPr>
          <w:rFonts w:hint="cs"/>
          <w:rtl/>
        </w:rPr>
      </w:pPr>
      <w:r>
        <w:rPr>
          <w:rFonts w:hint="cs"/>
          <w:rtl/>
        </w:rPr>
        <w:t>[</w:t>
      </w:r>
      <w:r w:rsidR="00BF001A">
        <w:rPr>
          <w:rFonts w:hint="cs"/>
          <w:rtl/>
        </w:rPr>
        <w:t>29</w:t>
      </w:r>
      <w:r>
        <w:rPr>
          <w:rFonts w:hint="cs"/>
          <w:rtl/>
        </w:rPr>
        <w:t>]</w:t>
      </w:r>
      <w:r>
        <w:rPr>
          <w:rFonts w:hint="cs"/>
          <w:rtl/>
        </w:rPr>
        <w:tab/>
      </w:r>
      <w:r w:rsidRPr="00417F6B">
        <w:rPr>
          <w:rFonts w:hint="cs"/>
          <w:rtl/>
        </w:rPr>
        <w:t xml:space="preserve">י' קדמי </w:t>
      </w:r>
      <w:r w:rsidRPr="001019FA">
        <w:rPr>
          <w:rFonts w:cs="Miriam" w:hint="cs"/>
          <w:szCs w:val="19"/>
          <w:rtl/>
        </w:rPr>
        <w:t>על הדין בפלילים</w:t>
      </w:r>
      <w:r>
        <w:rPr>
          <w:rFonts w:cs="Miriam" w:hint="cs"/>
          <w:rtl/>
        </w:rPr>
        <w:t xml:space="preserve"> </w:t>
      </w:r>
      <w:r>
        <w:rPr>
          <w:rFonts w:hint="eastAsia"/>
          <w:rtl/>
        </w:rPr>
        <w:t xml:space="preserve">– </w:t>
      </w:r>
      <w:hyperlink r:id="rId72" w:history="1">
        <w:r w:rsidR="00A7624C" w:rsidRPr="00A7624C">
          <w:rPr>
            <w:rStyle w:val="Hyperlink"/>
            <w:rFonts w:cs="Miriam"/>
            <w:szCs w:val="19"/>
            <w:rtl/>
          </w:rPr>
          <w:t>חוק העונשין</w:t>
        </w:r>
      </w:hyperlink>
      <w:r w:rsidRPr="00417F6B">
        <w:rPr>
          <w:rFonts w:hint="cs"/>
          <w:rtl/>
        </w:rPr>
        <w:t xml:space="preserve"> (</w:t>
      </w:r>
      <w:r>
        <w:rPr>
          <w:rFonts w:hint="cs"/>
          <w:rtl/>
        </w:rPr>
        <w:t xml:space="preserve">כרך א, </w:t>
      </w:r>
      <w:r w:rsidRPr="00417F6B">
        <w:rPr>
          <w:rFonts w:hint="cs"/>
          <w:rtl/>
        </w:rPr>
        <w:t>תשס"ה)</w:t>
      </w:r>
      <w:r>
        <w:rPr>
          <w:rFonts w:hint="cs"/>
          <w:rtl/>
        </w:rPr>
        <w:t>.</w:t>
      </w:r>
    </w:p>
    <w:p w:rsidR="00FC2ABF" w:rsidRDefault="00FC2ABF">
      <w:pPr>
        <w:pStyle w:val="a1"/>
        <w:spacing w:line="260" w:lineRule="exact"/>
        <w:rPr>
          <w:rFonts w:hint="cs"/>
          <w:rtl/>
        </w:rPr>
      </w:pPr>
      <w:r>
        <w:rPr>
          <w:rFonts w:hint="cs"/>
          <w:rtl/>
        </w:rPr>
        <w:t>[</w:t>
      </w:r>
      <w:r w:rsidR="00BF001A">
        <w:rPr>
          <w:rFonts w:hint="cs"/>
          <w:rtl/>
        </w:rPr>
        <w:t>30</w:t>
      </w:r>
      <w:r>
        <w:rPr>
          <w:rFonts w:hint="cs"/>
          <w:rtl/>
        </w:rPr>
        <w:t>]</w:t>
      </w:r>
      <w:r>
        <w:rPr>
          <w:rFonts w:hint="cs"/>
          <w:rtl/>
        </w:rPr>
        <w:tab/>
      </w:r>
      <w:r w:rsidRPr="00DA5C4E">
        <w:rPr>
          <w:rFonts w:hint="cs"/>
          <w:rtl/>
        </w:rPr>
        <w:t xml:space="preserve">ד' אבניאלי </w:t>
      </w:r>
      <w:r w:rsidRPr="00FC2ABF">
        <w:rPr>
          <w:rFonts w:cs="Miriam" w:hint="cs"/>
          <w:szCs w:val="19"/>
          <w:rtl/>
        </w:rPr>
        <w:t>חסינות אישי ציבור</w:t>
      </w:r>
      <w:r w:rsidRPr="00FC2ABF">
        <w:rPr>
          <w:rFonts w:hint="cs"/>
          <w:rtl/>
        </w:rPr>
        <w:t xml:space="preserve"> </w:t>
      </w:r>
      <w:r w:rsidRPr="00DA5C4E">
        <w:rPr>
          <w:rFonts w:hint="cs"/>
          <w:rtl/>
        </w:rPr>
        <w:t>(תשס"ב)</w:t>
      </w:r>
      <w:r>
        <w:rPr>
          <w:rFonts w:hint="cs"/>
          <w:rtl/>
        </w:rPr>
        <w:t>.</w:t>
      </w:r>
    </w:p>
    <w:p w:rsidR="00BF794A" w:rsidRDefault="00BF794A">
      <w:pPr>
        <w:pStyle w:val="a1"/>
        <w:spacing w:line="260" w:lineRule="exact"/>
        <w:rPr>
          <w:rFonts w:hint="cs"/>
          <w:rtl/>
        </w:rPr>
      </w:pPr>
      <w:r>
        <w:rPr>
          <w:rFonts w:hint="cs"/>
          <w:rtl/>
        </w:rPr>
        <w:t>[</w:t>
      </w:r>
      <w:r w:rsidR="00BF001A">
        <w:rPr>
          <w:rFonts w:hint="cs"/>
          <w:rtl/>
        </w:rPr>
        <w:t>31</w:t>
      </w:r>
      <w:r>
        <w:rPr>
          <w:rFonts w:hint="cs"/>
          <w:rtl/>
        </w:rPr>
        <w:t>]</w:t>
      </w:r>
      <w:r>
        <w:rPr>
          <w:rFonts w:hint="cs"/>
          <w:rtl/>
        </w:rPr>
        <w:tab/>
      </w:r>
      <w:r w:rsidRPr="00DA5C4E">
        <w:rPr>
          <w:rFonts w:hint="cs"/>
          <w:rtl/>
        </w:rPr>
        <w:t xml:space="preserve">ס' אוטולנגי </w:t>
      </w:r>
      <w:r w:rsidRPr="00BF794A">
        <w:rPr>
          <w:rFonts w:cs="Miriam" w:hint="cs"/>
          <w:szCs w:val="19"/>
          <w:rtl/>
        </w:rPr>
        <w:t xml:space="preserve">בוררות </w:t>
      </w:r>
      <w:r>
        <w:rPr>
          <w:rFonts w:hint="eastAsia"/>
          <w:rtl/>
        </w:rPr>
        <w:t xml:space="preserve">– </w:t>
      </w:r>
      <w:r w:rsidRPr="00BF794A">
        <w:rPr>
          <w:rFonts w:cs="Miriam" w:hint="cs"/>
          <w:szCs w:val="19"/>
          <w:rtl/>
        </w:rPr>
        <w:t>דין ונוהל</w:t>
      </w:r>
      <w:r w:rsidRPr="00BF794A">
        <w:rPr>
          <w:rFonts w:hint="cs"/>
          <w:rtl/>
        </w:rPr>
        <w:t xml:space="preserve"> </w:t>
      </w:r>
      <w:r w:rsidRPr="00DA5C4E">
        <w:rPr>
          <w:rFonts w:hint="cs"/>
          <w:rtl/>
        </w:rPr>
        <w:t xml:space="preserve">(מהדורה </w:t>
      </w:r>
      <w:r>
        <w:rPr>
          <w:rFonts w:hint="cs"/>
          <w:rtl/>
        </w:rPr>
        <w:t>3</w:t>
      </w:r>
      <w:r w:rsidRPr="00DA5C4E">
        <w:rPr>
          <w:rFonts w:hint="cs"/>
          <w:rtl/>
        </w:rPr>
        <w:t>, תשנ"א)</w:t>
      </w:r>
      <w:r w:rsidR="00860B7E">
        <w:rPr>
          <w:rFonts w:hint="cs"/>
          <w:rtl/>
        </w:rPr>
        <w:t>.</w:t>
      </w:r>
    </w:p>
    <w:p w:rsidR="009F3939" w:rsidRDefault="009F3939" w:rsidP="00BF001A">
      <w:pPr>
        <w:pStyle w:val="a1"/>
        <w:spacing w:before="240" w:line="260" w:lineRule="exact"/>
        <w:rPr>
          <w:rFonts w:hint="cs"/>
          <w:rtl/>
        </w:rPr>
        <w:sectPr w:rsidR="009F3939" w:rsidSect="00CD5C20">
          <w:headerReference w:type="even" r:id="rId73"/>
          <w:headerReference w:type="default" r:id="rId74"/>
          <w:footerReference w:type="even" r:id="rId75"/>
          <w:footerReference w:type="default" r:id="rId76"/>
          <w:headerReference w:type="first" r:id="rId77"/>
          <w:footerReference w:type="first" r:id="rId78"/>
          <w:endnotePr>
            <w:numFmt w:val="lowerLetter"/>
          </w:endnotePr>
          <w:type w:val="continuous"/>
          <w:pgSz w:w="11907" w:h="16840" w:code="9"/>
          <w:pgMar w:top="3600" w:right="2693" w:bottom="1872" w:left="2693" w:header="2880" w:footer="1411" w:gutter="0"/>
          <w:pgNumType w:start="120"/>
          <w:cols w:space="720"/>
          <w:titlePg/>
          <w:bidi/>
          <w:rtlGutter/>
          <w:docGrid w:linePitch="272"/>
        </w:sectPr>
      </w:pPr>
    </w:p>
    <w:p w:rsidR="009F4FD9" w:rsidRPr="009F4FD9" w:rsidRDefault="00BF001A" w:rsidP="00BF001A">
      <w:pPr>
        <w:pStyle w:val="a1"/>
        <w:spacing w:before="240" w:line="260" w:lineRule="exact"/>
        <w:rPr>
          <w:rFonts w:hint="cs"/>
          <w:rtl/>
        </w:rPr>
      </w:pPr>
      <w:r>
        <w:rPr>
          <w:rFonts w:hint="cs"/>
          <w:rtl/>
        </w:rPr>
        <w:t>מאמרים ישראליים שאוזכרו:</w:t>
      </w:r>
    </w:p>
    <w:p w:rsidR="005D17B1" w:rsidRDefault="005D17B1">
      <w:pPr>
        <w:pStyle w:val="a1"/>
        <w:spacing w:line="260" w:lineRule="exact"/>
        <w:rPr>
          <w:rFonts w:hint="cs"/>
          <w:rtl/>
        </w:rPr>
      </w:pPr>
      <w:r>
        <w:rPr>
          <w:rFonts w:hint="cs"/>
          <w:rtl/>
        </w:rPr>
        <w:t>[</w:t>
      </w:r>
      <w:r w:rsidR="00BF001A">
        <w:rPr>
          <w:rFonts w:hint="cs"/>
          <w:rtl/>
        </w:rPr>
        <w:t>32</w:t>
      </w:r>
      <w:r>
        <w:rPr>
          <w:rFonts w:hint="cs"/>
          <w:rtl/>
        </w:rPr>
        <w:t>]</w:t>
      </w:r>
      <w:r>
        <w:rPr>
          <w:rFonts w:hint="cs"/>
          <w:rtl/>
        </w:rPr>
        <w:tab/>
        <w:t xml:space="preserve">נ' </w:t>
      </w:r>
      <w:hyperlink r:id="rId79" w:history="1">
        <w:r w:rsidR="00AD4D63" w:rsidRPr="00AD4D63">
          <w:rPr>
            <w:rStyle w:val="Hyperlink"/>
            <w:rFonts w:hint="eastAsia"/>
            <w:rtl/>
          </w:rPr>
          <w:t>כהן</w:t>
        </w:r>
        <w:r w:rsidR="00AD4D63" w:rsidRPr="00AD4D63">
          <w:rPr>
            <w:rStyle w:val="Hyperlink"/>
            <w:rtl/>
          </w:rPr>
          <w:t xml:space="preserve"> "תחרות מסחרית וחופש עיסוק"</w:t>
        </w:r>
      </w:hyperlink>
      <w:r>
        <w:rPr>
          <w:rFonts w:hint="cs"/>
          <w:rtl/>
        </w:rPr>
        <w:t xml:space="preserve"> </w:t>
      </w:r>
      <w:r w:rsidRPr="005D17B1">
        <w:rPr>
          <w:rFonts w:cs="Miriam" w:hint="cs"/>
          <w:szCs w:val="19"/>
          <w:rtl/>
        </w:rPr>
        <w:t>עיוני משפט</w:t>
      </w:r>
      <w:r w:rsidRPr="00A43B56">
        <w:rPr>
          <w:rFonts w:hint="cs"/>
          <w:rtl/>
        </w:rPr>
        <w:t xml:space="preserve"> יט</w:t>
      </w:r>
      <w:r>
        <w:rPr>
          <w:rFonts w:hint="cs"/>
          <w:rtl/>
        </w:rPr>
        <w:t xml:space="preserve"> (תשנ"ה) 353.</w:t>
      </w:r>
    </w:p>
    <w:p w:rsidR="00010BA8" w:rsidRDefault="00010BA8">
      <w:pPr>
        <w:pStyle w:val="a1"/>
        <w:spacing w:line="260" w:lineRule="exact"/>
        <w:rPr>
          <w:rFonts w:hint="cs"/>
          <w:rtl/>
        </w:rPr>
      </w:pPr>
      <w:r>
        <w:rPr>
          <w:rFonts w:hint="cs"/>
          <w:rtl/>
        </w:rPr>
        <w:t>[</w:t>
      </w:r>
      <w:r w:rsidR="00BF001A">
        <w:rPr>
          <w:rFonts w:hint="cs"/>
          <w:rtl/>
        </w:rPr>
        <w:t>33</w:t>
      </w:r>
      <w:r>
        <w:rPr>
          <w:rFonts w:hint="cs"/>
          <w:rtl/>
        </w:rPr>
        <w:t>]</w:t>
      </w:r>
      <w:r>
        <w:rPr>
          <w:rFonts w:hint="cs"/>
          <w:rtl/>
        </w:rPr>
        <w:tab/>
      </w:r>
      <w:r w:rsidRPr="00010BA8">
        <w:rPr>
          <w:rtl/>
        </w:rPr>
        <w:t xml:space="preserve">מ' (שיצר) </w:t>
      </w:r>
      <w:hyperlink r:id="rId80" w:history="1">
        <w:r w:rsidR="00AD4D63" w:rsidRPr="00AD4D63">
          <w:rPr>
            <w:rStyle w:val="Hyperlink"/>
            <w:rtl/>
          </w:rPr>
          <w:t xml:space="preserve">גל "לבור את המוץ מהתבן </w:t>
        </w:r>
      </w:hyperlink>
      <w:r w:rsidRPr="00010BA8">
        <w:rPr>
          <w:rtl/>
        </w:rPr>
        <w:t xml:space="preserve"> – היקף תחולתו של האיסור לערוך הסדר כובל בהתאם לפסיקה האחרונה"</w:t>
      </w:r>
      <w:r w:rsidRPr="00010BA8">
        <w:rPr>
          <w:rFonts w:cs="Miriam"/>
          <w:szCs w:val="19"/>
          <w:rtl/>
        </w:rPr>
        <w:t xml:space="preserve"> דין ודברים</w:t>
      </w:r>
      <w:r w:rsidRPr="00010BA8">
        <w:rPr>
          <w:rtl/>
        </w:rPr>
        <w:t xml:space="preserve"> א (תשס"ה) 533.</w:t>
      </w:r>
    </w:p>
    <w:p w:rsidR="004B29EB" w:rsidRDefault="004B29EB">
      <w:pPr>
        <w:pStyle w:val="a1"/>
        <w:spacing w:line="260" w:lineRule="exact"/>
        <w:rPr>
          <w:rFonts w:hint="cs"/>
          <w:rtl/>
        </w:rPr>
      </w:pPr>
      <w:r>
        <w:rPr>
          <w:rFonts w:hint="cs"/>
          <w:rtl/>
        </w:rPr>
        <w:t>[</w:t>
      </w:r>
      <w:r w:rsidR="00BF001A">
        <w:rPr>
          <w:rFonts w:hint="cs"/>
          <w:rtl/>
        </w:rPr>
        <w:t>34</w:t>
      </w:r>
      <w:r>
        <w:rPr>
          <w:rFonts w:hint="cs"/>
          <w:rtl/>
        </w:rPr>
        <w:t>]</w:t>
      </w:r>
      <w:r>
        <w:rPr>
          <w:rFonts w:hint="cs"/>
          <w:rtl/>
        </w:rPr>
        <w:tab/>
      </w:r>
      <w:r w:rsidRPr="004B29EB">
        <w:rPr>
          <w:rtl/>
        </w:rPr>
        <w:t xml:space="preserve">ד' </w:t>
      </w:r>
      <w:hyperlink r:id="rId81" w:history="1">
        <w:r w:rsidR="00AD4D63" w:rsidRPr="00AD4D63">
          <w:rPr>
            <w:rStyle w:val="Hyperlink"/>
            <w:rtl/>
          </w:rPr>
          <w:t xml:space="preserve">גילה "האם ראוי לפרוץ את </w:t>
        </w:r>
      </w:hyperlink>
      <w:r w:rsidR="004C5B7C" w:rsidRPr="00AD4D63">
        <w:rPr>
          <w:color w:val="000000"/>
          <w:rtl/>
        </w:rPr>
        <w:t xml:space="preserve"> סכר ההסדרים הכובלים ולחסום את ה</w:t>
      </w:r>
      <w:r w:rsidRPr="004B29EB">
        <w:rPr>
          <w:rtl/>
        </w:rPr>
        <w:t>שיטפון בגדרות אד</w:t>
      </w:r>
      <w:r w:rsidRPr="00860B7E">
        <w:rPr>
          <w:position w:val="4"/>
          <w:rtl/>
        </w:rPr>
        <w:t>-</w:t>
      </w:r>
      <w:r w:rsidRPr="004B29EB">
        <w:rPr>
          <w:rtl/>
        </w:rPr>
        <w:t xml:space="preserve">הוק? – הגיעה השעה לחצוץ בין הסדרים אופקיים לאנכיים" </w:t>
      </w:r>
      <w:r w:rsidRPr="004B29EB">
        <w:rPr>
          <w:rFonts w:cs="Miriam"/>
          <w:szCs w:val="19"/>
          <w:rtl/>
        </w:rPr>
        <w:t>עיוני משפט</w:t>
      </w:r>
      <w:r w:rsidRPr="004B29EB">
        <w:rPr>
          <w:rtl/>
        </w:rPr>
        <w:t xml:space="preserve"> כז (תשס"ג-תשס"ד) 751.</w:t>
      </w:r>
    </w:p>
    <w:p w:rsidR="00560FAF" w:rsidRDefault="00560FAF">
      <w:pPr>
        <w:pStyle w:val="a1"/>
        <w:spacing w:line="260" w:lineRule="exact"/>
        <w:rPr>
          <w:rFonts w:hint="cs"/>
          <w:rtl/>
        </w:rPr>
      </w:pPr>
      <w:r>
        <w:rPr>
          <w:rFonts w:hint="cs"/>
          <w:rtl/>
        </w:rPr>
        <w:t>[</w:t>
      </w:r>
      <w:r w:rsidR="00BF001A">
        <w:rPr>
          <w:rFonts w:hint="cs"/>
          <w:rtl/>
        </w:rPr>
        <w:t>35</w:t>
      </w:r>
      <w:r>
        <w:rPr>
          <w:rFonts w:hint="cs"/>
          <w:rtl/>
        </w:rPr>
        <w:t>]</w:t>
      </w:r>
      <w:r>
        <w:rPr>
          <w:rFonts w:hint="cs"/>
          <w:rtl/>
        </w:rPr>
        <w:tab/>
      </w:r>
      <w:r w:rsidRPr="00560FAF">
        <w:rPr>
          <w:rtl/>
        </w:rPr>
        <w:t xml:space="preserve">ד' </w:t>
      </w:r>
      <w:hyperlink r:id="rId82" w:history="1">
        <w:r w:rsidR="00AD4D63" w:rsidRPr="00AD4D63">
          <w:rPr>
            <w:rStyle w:val="Hyperlink"/>
            <w:rtl/>
          </w:rPr>
          <w:t xml:space="preserve">פרידמן "שיקול דעת שיפוטי בהעמדה </w:t>
        </w:r>
      </w:hyperlink>
      <w:r w:rsidRPr="00560FAF">
        <w:rPr>
          <w:rtl/>
        </w:rPr>
        <w:t xml:space="preserve"> לדין פלילי" </w:t>
      </w:r>
      <w:r w:rsidRPr="00860B7E">
        <w:rPr>
          <w:rFonts w:cs="Miriam"/>
          <w:szCs w:val="19"/>
          <w:rtl/>
        </w:rPr>
        <w:t>הפרקליט</w:t>
      </w:r>
      <w:r w:rsidRPr="00860B7E">
        <w:rPr>
          <w:rtl/>
        </w:rPr>
        <w:t xml:space="preserve"> </w:t>
      </w:r>
      <w:r w:rsidRPr="00560FAF">
        <w:rPr>
          <w:rtl/>
        </w:rPr>
        <w:t>לה (תשמ"ג-תשמ"ד) 155.</w:t>
      </w:r>
    </w:p>
    <w:p w:rsidR="000E0A04" w:rsidRDefault="000E0A04">
      <w:pPr>
        <w:pStyle w:val="a1"/>
        <w:spacing w:line="260" w:lineRule="exact"/>
        <w:rPr>
          <w:rFonts w:hint="cs"/>
          <w:rtl/>
        </w:rPr>
      </w:pPr>
      <w:r>
        <w:rPr>
          <w:rFonts w:hint="cs"/>
          <w:rtl/>
        </w:rPr>
        <w:t>[</w:t>
      </w:r>
      <w:r w:rsidR="00BF001A">
        <w:rPr>
          <w:rFonts w:hint="cs"/>
          <w:rtl/>
        </w:rPr>
        <w:t>36</w:t>
      </w:r>
      <w:r>
        <w:rPr>
          <w:rFonts w:hint="cs"/>
          <w:rtl/>
        </w:rPr>
        <w:t>]</w:t>
      </w:r>
      <w:r>
        <w:rPr>
          <w:rFonts w:hint="cs"/>
          <w:rtl/>
        </w:rPr>
        <w:tab/>
      </w:r>
      <w:r w:rsidRPr="00417F6B">
        <w:rPr>
          <w:rFonts w:hint="cs"/>
          <w:rtl/>
        </w:rPr>
        <w:t xml:space="preserve">א' </w:t>
      </w:r>
      <w:hyperlink r:id="rId83" w:history="1">
        <w:r w:rsidR="00AD4D63" w:rsidRPr="00AD4D63">
          <w:rPr>
            <w:rStyle w:val="Hyperlink"/>
            <w:rtl/>
          </w:rPr>
          <w:t xml:space="preserve">מגן "'זוטי דברים' – אך </w:t>
        </w:r>
      </w:hyperlink>
      <w:r w:rsidRPr="00417F6B">
        <w:rPr>
          <w:rFonts w:hint="cs"/>
          <w:rtl/>
        </w:rPr>
        <w:t xml:space="preserve"> לא</w:t>
      </w:r>
      <w:r>
        <w:rPr>
          <w:rFonts w:hint="cs"/>
          <w:rtl/>
        </w:rPr>
        <w:t>ו</w:t>
      </w:r>
      <w:r w:rsidRPr="00417F6B">
        <w:rPr>
          <w:rFonts w:hint="cs"/>
          <w:rtl/>
        </w:rPr>
        <w:t xml:space="preserve"> מילתא </w:t>
      </w:r>
      <w:r>
        <w:rPr>
          <w:rFonts w:hint="cs"/>
          <w:rtl/>
        </w:rPr>
        <w:t>ד</w:t>
      </w:r>
      <w:r w:rsidRPr="00417F6B">
        <w:rPr>
          <w:rFonts w:hint="cs"/>
          <w:rtl/>
        </w:rPr>
        <w:t>זוטר</w:t>
      </w:r>
      <w:r>
        <w:rPr>
          <w:rFonts w:hint="cs"/>
          <w:rtl/>
        </w:rPr>
        <w:t>ת</w:t>
      </w:r>
      <w:r w:rsidRPr="00417F6B">
        <w:rPr>
          <w:rFonts w:hint="cs"/>
          <w:rtl/>
        </w:rPr>
        <w:t xml:space="preserve">א" </w:t>
      </w:r>
      <w:r w:rsidRPr="003D631E">
        <w:rPr>
          <w:rFonts w:cs="Miriam" w:hint="cs"/>
          <w:szCs w:val="19"/>
          <w:rtl/>
        </w:rPr>
        <w:t>הפרקליט</w:t>
      </w:r>
      <w:r w:rsidRPr="003D631E">
        <w:rPr>
          <w:rFonts w:hint="cs"/>
          <w:rtl/>
        </w:rPr>
        <w:t xml:space="preserve"> </w:t>
      </w:r>
      <w:r w:rsidRPr="00CA58E1">
        <w:rPr>
          <w:rFonts w:hint="cs"/>
          <w:rtl/>
        </w:rPr>
        <w:t>מג</w:t>
      </w:r>
      <w:r w:rsidRPr="00417F6B">
        <w:rPr>
          <w:rFonts w:hint="cs"/>
          <w:rtl/>
        </w:rPr>
        <w:t xml:space="preserve"> (תשנ"ז)</w:t>
      </w:r>
      <w:r>
        <w:rPr>
          <w:rFonts w:hint="cs"/>
          <w:rtl/>
        </w:rPr>
        <w:t xml:space="preserve"> 38.</w:t>
      </w:r>
    </w:p>
    <w:p w:rsidR="00280EC2" w:rsidRDefault="00280EC2" w:rsidP="00860B7E">
      <w:pPr>
        <w:pStyle w:val="a1"/>
        <w:spacing w:line="260" w:lineRule="exact"/>
        <w:rPr>
          <w:rFonts w:hint="cs"/>
          <w:rtl/>
        </w:rPr>
      </w:pPr>
      <w:r>
        <w:rPr>
          <w:rFonts w:hint="cs"/>
          <w:rtl/>
        </w:rPr>
        <w:t>[</w:t>
      </w:r>
      <w:r w:rsidR="00BF001A">
        <w:rPr>
          <w:rFonts w:hint="cs"/>
          <w:rtl/>
        </w:rPr>
        <w:t>37</w:t>
      </w:r>
      <w:r>
        <w:rPr>
          <w:rFonts w:hint="cs"/>
          <w:rtl/>
        </w:rPr>
        <w:t>]</w:t>
      </w:r>
      <w:r>
        <w:rPr>
          <w:rFonts w:hint="cs"/>
          <w:rtl/>
        </w:rPr>
        <w:tab/>
      </w:r>
      <w:r w:rsidRPr="00280EC2">
        <w:rPr>
          <w:rFonts w:hint="cs"/>
          <w:rtl/>
        </w:rPr>
        <w:t>מ' גור</w:t>
      </w:r>
      <w:r w:rsidRPr="00BF001A">
        <w:rPr>
          <w:rFonts w:hint="cs"/>
          <w:position w:val="4"/>
          <w:rtl/>
        </w:rPr>
        <w:t>-</w:t>
      </w:r>
      <w:hyperlink r:id="rId84" w:history="1">
        <w:r w:rsidR="00AD4D63" w:rsidRPr="00AD4D63">
          <w:rPr>
            <w:rStyle w:val="Hyperlink"/>
            <w:rtl/>
          </w:rPr>
          <w:t xml:space="preserve">אריה "הצעת חוק העונשין (חלק </w:t>
        </w:r>
      </w:hyperlink>
      <w:r w:rsidR="00860B7E">
        <w:rPr>
          <w:rFonts w:hint="cs"/>
          <w:rtl/>
        </w:rPr>
        <w:t xml:space="preserve"> מקדמי וחלק כללי), התשנ"ב-1992</w:t>
      </w:r>
      <w:r w:rsidRPr="00417F6B">
        <w:rPr>
          <w:rFonts w:hint="cs"/>
          <w:rtl/>
        </w:rPr>
        <w:t xml:space="preserve">" </w:t>
      </w:r>
      <w:r w:rsidRPr="00280EC2">
        <w:rPr>
          <w:rFonts w:cs="Miriam" w:hint="cs"/>
          <w:szCs w:val="19"/>
          <w:rtl/>
        </w:rPr>
        <w:t>משפטים</w:t>
      </w:r>
      <w:r w:rsidRPr="00280EC2">
        <w:rPr>
          <w:rFonts w:cs="Miriam" w:hint="cs"/>
          <w:rtl/>
        </w:rPr>
        <w:t xml:space="preserve"> </w:t>
      </w:r>
      <w:r w:rsidRPr="00D374CA">
        <w:rPr>
          <w:rFonts w:hint="cs"/>
          <w:rtl/>
        </w:rPr>
        <w:t>כד</w:t>
      </w:r>
      <w:r w:rsidRPr="00626B11">
        <w:rPr>
          <w:rFonts w:hint="cs"/>
          <w:rtl/>
        </w:rPr>
        <w:t xml:space="preserve"> </w:t>
      </w:r>
      <w:r w:rsidRPr="00417F6B">
        <w:rPr>
          <w:rFonts w:hint="cs"/>
          <w:rtl/>
        </w:rPr>
        <w:t>(תשנ"ד</w:t>
      </w:r>
      <w:r>
        <w:rPr>
          <w:rFonts w:hint="cs"/>
          <w:rtl/>
        </w:rPr>
        <w:t>-תשנ"ה</w:t>
      </w:r>
      <w:r w:rsidRPr="00417F6B">
        <w:rPr>
          <w:rFonts w:hint="cs"/>
          <w:rtl/>
        </w:rPr>
        <w:t>)</w:t>
      </w:r>
      <w:r>
        <w:rPr>
          <w:rFonts w:hint="cs"/>
          <w:rtl/>
        </w:rPr>
        <w:t xml:space="preserve"> </w:t>
      </w:r>
      <w:r w:rsidRPr="00417F6B">
        <w:rPr>
          <w:rFonts w:hint="cs"/>
          <w:rtl/>
        </w:rPr>
        <w:t>9</w:t>
      </w:r>
      <w:r w:rsidR="001019FA">
        <w:rPr>
          <w:rFonts w:hint="cs"/>
          <w:rtl/>
        </w:rPr>
        <w:t>.</w:t>
      </w:r>
    </w:p>
    <w:p w:rsidR="0027052B" w:rsidRDefault="0027052B">
      <w:pPr>
        <w:pStyle w:val="a1"/>
        <w:spacing w:line="260" w:lineRule="exact"/>
        <w:rPr>
          <w:rFonts w:hint="cs"/>
          <w:rtl/>
        </w:rPr>
      </w:pPr>
      <w:r>
        <w:rPr>
          <w:rFonts w:hint="cs"/>
          <w:rtl/>
        </w:rPr>
        <w:t>[</w:t>
      </w:r>
      <w:r w:rsidR="00BF001A">
        <w:rPr>
          <w:rFonts w:hint="cs"/>
          <w:rtl/>
        </w:rPr>
        <w:t>38</w:t>
      </w:r>
      <w:r>
        <w:rPr>
          <w:rFonts w:hint="cs"/>
          <w:rtl/>
        </w:rPr>
        <w:t>]</w:t>
      </w:r>
      <w:r>
        <w:rPr>
          <w:rFonts w:hint="cs"/>
          <w:rtl/>
        </w:rPr>
        <w:tab/>
      </w:r>
      <w:r w:rsidRPr="0027052B">
        <w:rPr>
          <w:rtl/>
        </w:rPr>
        <w:t>מ' קרמניצר "תיקון 39 ל</w:t>
      </w:r>
      <w:hyperlink r:id="rId85" w:history="1">
        <w:r w:rsidR="00A7624C" w:rsidRPr="00A7624C">
          <w:rPr>
            <w:rStyle w:val="Hyperlink"/>
            <w:rtl/>
          </w:rPr>
          <w:t>חוק העונשין</w:t>
        </w:r>
      </w:hyperlink>
      <w:r w:rsidRPr="0027052B">
        <w:rPr>
          <w:rtl/>
        </w:rPr>
        <w:t xml:space="preserve"> – חמש שנים לחקיקתו" </w:t>
      </w:r>
      <w:r w:rsidRPr="0027052B">
        <w:rPr>
          <w:rFonts w:cs="Miriam"/>
          <w:szCs w:val="19"/>
          <w:rtl/>
        </w:rPr>
        <w:t>מגמות בפלילים</w:t>
      </w:r>
      <w:r w:rsidR="00860B7E">
        <w:rPr>
          <w:rFonts w:cs="Miriam" w:hint="cs"/>
          <w:szCs w:val="19"/>
          <w:rtl/>
        </w:rPr>
        <w:t xml:space="preserve"> </w:t>
      </w:r>
      <w:r w:rsidR="00860B7E">
        <w:rPr>
          <w:rFonts w:hint="eastAsia"/>
          <w:rtl/>
        </w:rPr>
        <w:t xml:space="preserve">– </w:t>
      </w:r>
      <w:r w:rsidR="00860B7E">
        <w:rPr>
          <w:rFonts w:cs="Miriam" w:hint="cs"/>
          <w:szCs w:val="19"/>
          <w:rtl/>
        </w:rPr>
        <w:t>עיונים בתורת האחריות הפלילית</w:t>
      </w:r>
      <w:r w:rsidRPr="0027052B">
        <w:rPr>
          <w:rtl/>
        </w:rPr>
        <w:t xml:space="preserve"> (א' לדרמן עורך, תשס"א) 55.</w:t>
      </w:r>
    </w:p>
    <w:p w:rsidR="00BF794A" w:rsidRDefault="00BF794A">
      <w:pPr>
        <w:pStyle w:val="a1"/>
        <w:spacing w:line="260" w:lineRule="exact"/>
        <w:rPr>
          <w:rFonts w:hint="cs"/>
          <w:rtl/>
        </w:rPr>
      </w:pPr>
      <w:r>
        <w:rPr>
          <w:rFonts w:hint="cs"/>
          <w:rtl/>
        </w:rPr>
        <w:t>[</w:t>
      </w:r>
      <w:r w:rsidR="00BF001A">
        <w:rPr>
          <w:rFonts w:hint="cs"/>
          <w:rtl/>
        </w:rPr>
        <w:t>39</w:t>
      </w:r>
      <w:r>
        <w:rPr>
          <w:rFonts w:hint="cs"/>
          <w:rtl/>
        </w:rPr>
        <w:t>]</w:t>
      </w:r>
      <w:r>
        <w:rPr>
          <w:rFonts w:hint="cs"/>
          <w:rtl/>
        </w:rPr>
        <w:tab/>
      </w:r>
      <w:r w:rsidRPr="00DA5C4E">
        <w:rPr>
          <w:rFonts w:hint="cs"/>
          <w:rtl/>
        </w:rPr>
        <w:t xml:space="preserve">י' </w:t>
      </w:r>
      <w:hyperlink r:id="rId86" w:history="1">
        <w:r w:rsidR="00AD4D63" w:rsidRPr="00AD4D63">
          <w:rPr>
            <w:rStyle w:val="Hyperlink"/>
            <w:rtl/>
          </w:rPr>
          <w:t xml:space="preserve">גלעד "אוי לדור ששופטיו צריכים </w:t>
        </w:r>
      </w:hyperlink>
      <w:r w:rsidRPr="00FC2ABF">
        <w:rPr>
          <w:rFonts w:hint="cs"/>
          <w:rtl/>
        </w:rPr>
        <w:t xml:space="preserve"> להישפט?"</w:t>
      </w:r>
      <w:r w:rsidRPr="00DA5C4E">
        <w:rPr>
          <w:rFonts w:hint="cs"/>
          <w:rtl/>
        </w:rPr>
        <w:t xml:space="preserve"> </w:t>
      </w:r>
      <w:r w:rsidRPr="00FC2ABF">
        <w:rPr>
          <w:rFonts w:cs="Miriam" w:hint="cs"/>
          <w:szCs w:val="19"/>
          <w:rtl/>
        </w:rPr>
        <w:t xml:space="preserve">עלי משפט </w:t>
      </w:r>
      <w:r w:rsidRPr="00DA5C4E">
        <w:rPr>
          <w:rFonts w:hint="cs"/>
          <w:rtl/>
        </w:rPr>
        <w:t>ב (תשס"ב) 255</w:t>
      </w:r>
      <w:r>
        <w:rPr>
          <w:rFonts w:hint="cs"/>
          <w:rtl/>
        </w:rPr>
        <w:t>.</w:t>
      </w:r>
    </w:p>
    <w:p w:rsidR="00702E0F" w:rsidRDefault="00702E0F" w:rsidP="00BF001A">
      <w:pPr>
        <w:pStyle w:val="a1"/>
        <w:spacing w:before="240" w:line="260" w:lineRule="exact"/>
        <w:rPr>
          <w:rFonts w:hint="cs"/>
          <w:rtl/>
        </w:rPr>
      </w:pPr>
      <w:r>
        <w:rPr>
          <w:rFonts w:hint="cs"/>
          <w:rtl/>
        </w:rPr>
        <w:t>שונות</w:t>
      </w:r>
      <w:r w:rsidR="00BF001A">
        <w:rPr>
          <w:rFonts w:hint="cs"/>
          <w:rtl/>
        </w:rPr>
        <w:t>:</w:t>
      </w:r>
    </w:p>
    <w:p w:rsidR="00702E0F" w:rsidRPr="00560FAF" w:rsidRDefault="00702E0F">
      <w:pPr>
        <w:pStyle w:val="a1"/>
        <w:spacing w:line="260" w:lineRule="exact"/>
        <w:rPr>
          <w:rFonts w:hint="cs"/>
          <w:rtl/>
        </w:rPr>
      </w:pPr>
      <w:r>
        <w:rPr>
          <w:rFonts w:hint="cs"/>
          <w:rtl/>
        </w:rPr>
        <w:t>[</w:t>
      </w:r>
      <w:r w:rsidR="00BF001A">
        <w:rPr>
          <w:rFonts w:hint="cs"/>
          <w:rtl/>
        </w:rPr>
        <w:t>40</w:t>
      </w:r>
      <w:r>
        <w:rPr>
          <w:rFonts w:hint="cs"/>
          <w:rtl/>
        </w:rPr>
        <w:t>]</w:t>
      </w:r>
      <w:r>
        <w:rPr>
          <w:rFonts w:hint="cs"/>
          <w:rtl/>
        </w:rPr>
        <w:tab/>
        <w:t xml:space="preserve">"הצעת חלק כללי לחוק עונשין חדש ודברי הסבר" </w:t>
      </w:r>
      <w:r>
        <w:rPr>
          <w:rFonts w:cs="Miriam" w:hint="cs"/>
          <w:szCs w:val="19"/>
          <w:rtl/>
        </w:rPr>
        <w:t xml:space="preserve">משפטים </w:t>
      </w:r>
      <w:r>
        <w:rPr>
          <w:rFonts w:hint="cs"/>
          <w:rtl/>
        </w:rPr>
        <w:t>י (תש"ם) 202.</w:t>
      </w:r>
    </w:p>
    <w:p w:rsidR="00F4416E" w:rsidRDefault="006A180F" w:rsidP="00397883">
      <w:pPr>
        <w:pStyle w:val="a"/>
        <w:spacing w:before="240"/>
        <w:ind w:firstLine="0"/>
        <w:rPr>
          <w:rFonts w:hint="cs"/>
          <w:rtl/>
        </w:rPr>
      </w:pPr>
      <w:r>
        <w:rPr>
          <w:rFonts w:hint="eastAsia"/>
          <w:sz w:val="18"/>
          <w:rtl/>
        </w:rPr>
        <w:t>ערעור</w:t>
      </w:r>
      <w:r>
        <w:rPr>
          <w:sz w:val="18"/>
          <w:rtl/>
        </w:rPr>
        <w:t xml:space="preserve"> </w:t>
      </w:r>
      <w:r>
        <w:rPr>
          <w:rFonts w:hint="eastAsia"/>
          <w:sz w:val="18"/>
          <w:rtl/>
        </w:rPr>
        <w:t>על</w:t>
      </w:r>
      <w:r>
        <w:rPr>
          <w:sz w:val="18"/>
          <w:rtl/>
        </w:rPr>
        <w:t xml:space="preserve"> </w:t>
      </w:r>
      <w:r>
        <w:rPr>
          <w:rFonts w:hint="cs"/>
          <w:sz w:val="18"/>
          <w:rtl/>
        </w:rPr>
        <w:t xml:space="preserve">הכרעת דינו </w:t>
      </w:r>
      <w:r>
        <w:rPr>
          <w:sz w:val="18"/>
          <w:rtl/>
        </w:rPr>
        <w:t>של בית המשפט המחוזי ב</w:t>
      </w:r>
      <w:r>
        <w:rPr>
          <w:rFonts w:hint="cs"/>
          <w:sz w:val="18"/>
          <w:rtl/>
        </w:rPr>
        <w:t>ירושלים</w:t>
      </w:r>
      <w:r>
        <w:rPr>
          <w:sz w:val="18"/>
          <w:rtl/>
        </w:rPr>
        <w:t xml:space="preserve"> </w:t>
      </w:r>
      <w:r>
        <w:rPr>
          <w:rFonts w:hint="cs"/>
          <w:sz w:val="18"/>
          <w:rtl/>
        </w:rPr>
        <w:t>(</w:t>
      </w:r>
      <w:r w:rsidRPr="00047C6E">
        <w:rPr>
          <w:rFonts w:cs="Miriam"/>
          <w:sz w:val="24"/>
          <w:szCs w:val="19"/>
          <w:rtl/>
        </w:rPr>
        <w:t xml:space="preserve">השופטת מ' </w:t>
      </w:r>
      <w:r w:rsidRPr="00047C6E">
        <w:rPr>
          <w:rFonts w:cs="Miriam" w:hint="eastAsia"/>
          <w:sz w:val="24"/>
          <w:szCs w:val="19"/>
          <w:rtl/>
        </w:rPr>
        <w:t>מזרחי</w:t>
      </w:r>
      <w:r w:rsidRPr="00047C6E">
        <w:rPr>
          <w:rFonts w:hint="cs"/>
          <w:sz w:val="28"/>
          <w:rtl/>
        </w:rPr>
        <w:t>)</w:t>
      </w:r>
      <w:r>
        <w:rPr>
          <w:rFonts w:hint="cs"/>
          <w:sz w:val="18"/>
          <w:rtl/>
        </w:rPr>
        <w:t xml:space="preserve"> </w:t>
      </w:r>
      <w:r w:rsidRPr="00E84E03">
        <w:rPr>
          <w:sz w:val="18"/>
          <w:rtl/>
        </w:rPr>
        <w:t xml:space="preserve">מיום </w:t>
      </w:r>
      <w:r w:rsidR="00397883">
        <w:rPr>
          <w:rFonts w:hint="cs"/>
          <w:sz w:val="18"/>
          <w:rtl/>
        </w:rPr>
        <w:t>10</w:t>
      </w:r>
      <w:r w:rsidRPr="00E84E03">
        <w:rPr>
          <w:sz w:val="18"/>
          <w:rtl/>
        </w:rPr>
        <w:t>.6.</w:t>
      </w:r>
      <w:r w:rsidR="00397883">
        <w:rPr>
          <w:rFonts w:hint="cs"/>
          <w:sz w:val="18"/>
          <w:rtl/>
        </w:rPr>
        <w:t>20</w:t>
      </w:r>
      <w:r w:rsidRPr="00E84E03">
        <w:rPr>
          <w:sz w:val="18"/>
          <w:rtl/>
        </w:rPr>
        <w:t>03 ב</w:t>
      </w:r>
      <w:hyperlink r:id="rId87" w:history="1">
        <w:r w:rsidR="004C5B7C" w:rsidRPr="004C5B7C">
          <w:rPr>
            <w:rStyle w:val="Hyperlink"/>
            <w:rFonts w:cs="Miriam" w:hint="eastAsia"/>
            <w:szCs w:val="19"/>
            <w:rtl/>
          </w:rPr>
          <w:t>ת</w:t>
        </w:r>
        <w:r w:rsidR="004C5B7C" w:rsidRPr="004C5B7C">
          <w:rPr>
            <w:rStyle w:val="Hyperlink"/>
            <w:rFonts w:cs="Miriam"/>
            <w:szCs w:val="19"/>
            <w:rtl/>
          </w:rPr>
          <w:t>"פ 287/98</w:t>
        </w:r>
      </w:hyperlink>
      <w:r w:rsidR="00856CE0" w:rsidRPr="00856CE0">
        <w:rPr>
          <w:rFonts w:cs="Miriam" w:hint="cs"/>
          <w:szCs w:val="19"/>
          <w:rtl/>
        </w:rPr>
        <w:t xml:space="preserve"> [</w:t>
      </w:r>
      <w:r w:rsidR="00BF001A">
        <w:rPr>
          <w:rFonts w:cs="Miriam" w:hint="cs"/>
          <w:szCs w:val="19"/>
          <w:rtl/>
        </w:rPr>
        <w:t>25</w:t>
      </w:r>
      <w:r w:rsidR="00856CE0" w:rsidRPr="00856CE0">
        <w:rPr>
          <w:rFonts w:cs="Miriam" w:hint="cs"/>
          <w:szCs w:val="19"/>
          <w:rtl/>
        </w:rPr>
        <w:t>]</w:t>
      </w:r>
      <w:r>
        <w:rPr>
          <w:rtl/>
        </w:rPr>
        <w:t xml:space="preserve">. </w:t>
      </w:r>
      <w:r>
        <w:rPr>
          <w:rFonts w:cs="Miriam"/>
          <w:sz w:val="26"/>
          <w:szCs w:val="19"/>
          <w:rtl/>
        </w:rPr>
        <w:t xml:space="preserve">הערעור </w:t>
      </w:r>
      <w:r>
        <w:rPr>
          <w:rFonts w:cs="Miriam" w:hint="cs"/>
          <w:sz w:val="26"/>
          <w:szCs w:val="19"/>
          <w:rtl/>
        </w:rPr>
        <w:t>נתקבל</w:t>
      </w:r>
      <w:r w:rsidR="00F4416E">
        <w:rPr>
          <w:rFonts w:hint="cs"/>
          <w:rtl/>
        </w:rPr>
        <w:t>.</w:t>
      </w:r>
    </w:p>
    <w:p w:rsidR="00A600BE" w:rsidRDefault="006A180F" w:rsidP="00F4416E">
      <w:pPr>
        <w:pStyle w:val="a"/>
        <w:spacing w:after="60"/>
        <w:ind w:left="284" w:hanging="284"/>
        <w:rPr>
          <w:rFonts w:hint="cs"/>
          <w:rtl/>
        </w:rPr>
      </w:pPr>
      <w:r>
        <w:rPr>
          <w:rFonts w:hint="cs"/>
          <w:rtl/>
        </w:rPr>
        <w:t>דוד גדעוני, מיכל הלפרין, אסף מוזס</w:t>
      </w:r>
      <w:r w:rsidR="008A62E1">
        <w:rPr>
          <w:rtl/>
        </w:rPr>
        <w:t xml:space="preserve"> – בשם </w:t>
      </w:r>
      <w:r w:rsidR="00F4416E">
        <w:rPr>
          <w:rFonts w:hint="cs"/>
          <w:rtl/>
        </w:rPr>
        <w:t>המערערים</w:t>
      </w:r>
      <w:r w:rsidR="00A600BE">
        <w:rPr>
          <w:rFonts w:hint="cs"/>
          <w:rtl/>
        </w:rPr>
        <w:t>;</w:t>
      </w:r>
    </w:p>
    <w:p w:rsidR="006A180F" w:rsidRDefault="006A180F" w:rsidP="006A180F">
      <w:pPr>
        <w:pStyle w:val="a"/>
        <w:spacing w:after="60"/>
        <w:ind w:left="284" w:hanging="284"/>
        <w:rPr>
          <w:rFonts w:hint="cs"/>
          <w:rtl/>
        </w:rPr>
      </w:pPr>
      <w:r>
        <w:rPr>
          <w:rFonts w:hint="cs"/>
          <w:rtl/>
        </w:rPr>
        <w:t>דן שינמן</w:t>
      </w:r>
      <w:r w:rsidR="007C36B3">
        <w:rPr>
          <w:rFonts w:hint="cs"/>
          <w:rtl/>
        </w:rPr>
        <w:t>, נילי רוטלוי</w:t>
      </w:r>
      <w:r w:rsidR="00A600BE">
        <w:rPr>
          <w:rFonts w:hint="cs"/>
          <w:rtl/>
        </w:rPr>
        <w:t xml:space="preserve"> – בשם </w:t>
      </w:r>
      <w:r>
        <w:rPr>
          <w:rFonts w:hint="cs"/>
          <w:rtl/>
        </w:rPr>
        <w:t>המשיבים 2-1;</w:t>
      </w:r>
    </w:p>
    <w:p w:rsidR="008A62E1" w:rsidRDefault="006A180F" w:rsidP="006A180F">
      <w:pPr>
        <w:pStyle w:val="a"/>
        <w:spacing w:after="60"/>
        <w:ind w:left="284" w:hanging="284"/>
        <w:rPr>
          <w:rtl/>
        </w:rPr>
      </w:pPr>
      <w:r>
        <w:rPr>
          <w:rFonts w:hint="cs"/>
          <w:rtl/>
        </w:rPr>
        <w:t>דורי קלגסבלד, שרון קליימן, גור בליי – בשם המשיב 3</w:t>
      </w:r>
      <w:r w:rsidR="008A62E1">
        <w:rPr>
          <w:rtl/>
        </w:rPr>
        <w:t>.</w:t>
      </w:r>
    </w:p>
    <w:p w:rsidR="008A62E1" w:rsidRDefault="00CD5C20" w:rsidP="006A180F">
      <w:pPr>
        <w:pStyle w:val="-"/>
        <w:spacing w:before="360" w:after="240"/>
        <w:rPr>
          <w:spacing w:val="20"/>
          <w:u w:val="none"/>
          <w:rtl/>
        </w:rPr>
      </w:pPr>
      <w:bookmarkStart w:id="3" w:name="PsakDin"/>
      <w:bookmarkEnd w:id="1"/>
      <w:r>
        <w:rPr>
          <w:spacing w:val="20"/>
          <w:u w:val="none"/>
          <w:rtl/>
        </w:rPr>
        <w:br w:type="page"/>
      </w:r>
      <w:r w:rsidR="008A62E1">
        <w:rPr>
          <w:spacing w:val="20"/>
          <w:u w:val="none"/>
          <w:rtl/>
        </w:rPr>
        <w:t>פסק</w:t>
      </w:r>
      <w:r w:rsidR="006A180F">
        <w:rPr>
          <w:rFonts w:hint="cs"/>
          <w:position w:val="5"/>
          <w:u w:val="none"/>
          <w:rtl/>
        </w:rPr>
        <w:t xml:space="preserve"> </w:t>
      </w:r>
      <w:r w:rsidR="008A62E1">
        <w:rPr>
          <w:spacing w:val="20"/>
          <w:u w:val="none"/>
          <w:rtl/>
        </w:rPr>
        <w:t>דין</w:t>
      </w:r>
    </w:p>
    <w:p w:rsidR="008A62E1" w:rsidRDefault="008A62E1" w:rsidP="006A180F">
      <w:pPr>
        <w:pStyle w:val="a2"/>
        <w:rPr>
          <w:rFonts w:hint="cs"/>
          <w:rtl/>
        </w:rPr>
      </w:pPr>
      <w:bookmarkStart w:id="4" w:name="WRITER_NAME"/>
      <w:bookmarkEnd w:id="3"/>
      <w:r>
        <w:rPr>
          <w:rtl/>
        </w:rPr>
        <w:t xml:space="preserve">השופט </w:t>
      </w:r>
      <w:r w:rsidR="006A180F">
        <w:rPr>
          <w:rFonts w:hint="cs"/>
          <w:rtl/>
        </w:rPr>
        <w:t>א</w:t>
      </w:r>
      <w:r>
        <w:rPr>
          <w:rtl/>
        </w:rPr>
        <w:t>'</w:t>
      </w:r>
      <w:r w:rsidR="006A180F">
        <w:rPr>
          <w:rFonts w:hint="cs"/>
          <w:rtl/>
        </w:rPr>
        <w:t xml:space="preserve"> א' לוי</w:t>
      </w:r>
      <w:bookmarkEnd w:id="4"/>
    </w:p>
    <w:p w:rsidR="006A180F" w:rsidRPr="00165B1B" w:rsidRDefault="006A180F" w:rsidP="00165B1B">
      <w:pPr>
        <w:pStyle w:val="a"/>
        <w:rPr>
          <w:rFonts w:cs="Miriam" w:hint="cs"/>
          <w:szCs w:val="19"/>
          <w:rtl/>
        </w:rPr>
      </w:pPr>
      <w:r w:rsidRPr="00165B1B">
        <w:rPr>
          <w:rFonts w:cs="Miriam" w:hint="cs"/>
          <w:szCs w:val="19"/>
          <w:rtl/>
        </w:rPr>
        <w:t>מבוא</w:t>
      </w:r>
    </w:p>
    <w:p w:rsidR="006A180F" w:rsidRDefault="006A180F" w:rsidP="003E054D">
      <w:pPr>
        <w:pStyle w:val="a"/>
        <w:rPr>
          <w:rFonts w:hint="cs"/>
          <w:rtl/>
        </w:rPr>
      </w:pPr>
      <w:r>
        <w:rPr>
          <w:rFonts w:hint="cs"/>
          <w:rtl/>
        </w:rPr>
        <w:t>1.</w:t>
      </w:r>
      <w:r>
        <w:rPr>
          <w:rFonts w:hint="cs"/>
          <w:rtl/>
        </w:rPr>
        <w:tab/>
        <w:t>המשיבה 1, "אריאל הנדסת חשמל רמזורים ובקרה בע"מ" (להלן</w:t>
      </w:r>
      <w:r w:rsidR="003E054D">
        <w:rPr>
          <w:rFonts w:hint="cs"/>
          <w:rtl/>
        </w:rPr>
        <w:t xml:space="preserve"> –</w:t>
      </w:r>
      <w:r>
        <w:rPr>
          <w:rFonts w:hint="cs"/>
          <w:rtl/>
        </w:rPr>
        <w:t xml:space="preserve"> אריאל), היא חברה העוסקת בתחזוקת רמזורים שעד לשנת 1983 תחזקה את מרבית מערכות הרמזורים בחיפה. המשיב 2, אברהם הרשלום (להלן</w:t>
      </w:r>
      <w:r w:rsidR="003E054D">
        <w:rPr>
          <w:rFonts w:hint="cs"/>
          <w:rtl/>
        </w:rPr>
        <w:t xml:space="preserve"> –</w:t>
      </w:r>
      <w:r>
        <w:rPr>
          <w:rFonts w:hint="cs"/>
          <w:rtl/>
        </w:rPr>
        <w:t xml:space="preserve"> הרשלום), שימש</w:t>
      </w:r>
      <w:r w:rsidRPr="0039501E">
        <w:rPr>
          <w:rFonts w:hint="cs"/>
          <w:rtl/>
        </w:rPr>
        <w:t xml:space="preserve"> </w:t>
      </w:r>
      <w:r>
        <w:rPr>
          <w:rFonts w:hint="cs"/>
          <w:rtl/>
        </w:rPr>
        <w:t>בתקופה הרלוונטית מנהלה הפעיל של אריאל וכן מנהלה של חברת "וימאזור", שעסקה אף היא באותו תחום. המשיב 3, שי אופיר (להלן</w:t>
      </w:r>
      <w:r w:rsidR="003E054D">
        <w:rPr>
          <w:rFonts w:hint="cs"/>
          <w:rtl/>
        </w:rPr>
        <w:t xml:space="preserve"> –</w:t>
      </w:r>
      <w:r>
        <w:rPr>
          <w:rFonts w:hint="cs"/>
          <w:rtl/>
        </w:rPr>
        <w:t xml:space="preserve"> אופיר או המשיב 3), הוא איש עסקים שנתן את הסכמתו לשמש בורר בין חברת אריאל לחברת מנורה רמזורים בע"מ (להלן</w:t>
      </w:r>
      <w:r w:rsidR="003E054D">
        <w:rPr>
          <w:rFonts w:hint="cs"/>
          <w:rtl/>
        </w:rPr>
        <w:t xml:space="preserve"> –</w:t>
      </w:r>
      <w:r>
        <w:rPr>
          <w:rFonts w:hint="cs"/>
          <w:rtl/>
        </w:rPr>
        <w:t xml:space="preserve"> מנורה) בסכסוך שנתגלע ביניהן. </w:t>
      </w:r>
    </w:p>
    <w:p w:rsidR="006A180F" w:rsidRPr="00096947" w:rsidRDefault="006A180F" w:rsidP="00397883">
      <w:pPr>
        <w:pStyle w:val="a"/>
        <w:rPr>
          <w:rFonts w:hint="cs"/>
          <w:rtl/>
        </w:rPr>
      </w:pPr>
      <w:r>
        <w:rPr>
          <w:rFonts w:hint="cs"/>
          <w:rtl/>
        </w:rPr>
        <w:t>בכתב אישום שהוגש ל</w:t>
      </w:r>
      <w:r w:rsidRPr="00E157E6">
        <w:rPr>
          <w:rFonts w:hint="cs"/>
          <w:rtl/>
        </w:rPr>
        <w:t xml:space="preserve">בית המשפט המחוזי בירושלים </w:t>
      </w:r>
      <w:r>
        <w:rPr>
          <w:rFonts w:hint="cs"/>
          <w:rtl/>
        </w:rPr>
        <w:t>נטען כי ה</w:t>
      </w:r>
      <w:r w:rsidRPr="00E157E6">
        <w:rPr>
          <w:rFonts w:hint="cs"/>
          <w:rtl/>
        </w:rPr>
        <w:t>משיבים</w:t>
      </w:r>
      <w:r>
        <w:rPr>
          <w:rFonts w:hint="cs"/>
          <w:rtl/>
        </w:rPr>
        <w:t xml:space="preserve"> 1 ו</w:t>
      </w:r>
      <w:r w:rsidRPr="003E054D">
        <w:rPr>
          <w:rFonts w:hint="cs"/>
          <w:position w:val="4"/>
          <w:rtl/>
        </w:rPr>
        <w:t>-</w:t>
      </w:r>
      <w:r>
        <w:rPr>
          <w:rFonts w:hint="cs"/>
          <w:rtl/>
        </w:rPr>
        <w:t>2</w:t>
      </w:r>
      <w:r w:rsidRPr="00E157E6">
        <w:rPr>
          <w:rFonts w:hint="cs"/>
          <w:rtl/>
        </w:rPr>
        <w:t xml:space="preserve"> וארבעה אחרים </w:t>
      </w:r>
      <w:r>
        <w:rPr>
          <w:rFonts w:hint="cs"/>
          <w:rtl/>
        </w:rPr>
        <w:t xml:space="preserve">היו צדדים להסדר כובל אשר מטרתו הייתה חלוקת שוק, היינו שמנורה תתחזק את הרמזורים בחיפה, ואריאל תעשה זאת בירושלים. בגין אלה יוחסה להם עבירה לפי </w:t>
      </w:r>
      <w:hyperlink r:id="rId88" w:history="1">
        <w:r w:rsidR="0025156A" w:rsidRPr="0025156A">
          <w:rPr>
            <w:color w:val="0000FF"/>
            <w:u w:val="single"/>
            <w:rtl/>
          </w:rPr>
          <w:t>סעיפים 47(א)(1)</w:t>
        </w:r>
      </w:hyperlink>
      <w:r>
        <w:rPr>
          <w:rFonts w:hint="cs"/>
          <w:rtl/>
        </w:rPr>
        <w:t xml:space="preserve"> ל</w:t>
      </w:r>
      <w:hyperlink r:id="rId89" w:history="1">
        <w:r w:rsidR="00A7624C" w:rsidRPr="00A7624C">
          <w:rPr>
            <w:rStyle w:val="Hyperlink"/>
            <w:rtl/>
          </w:rPr>
          <w:t>חוק ההגבלים העסקיים</w:t>
        </w:r>
      </w:hyperlink>
      <w:r>
        <w:rPr>
          <w:rFonts w:hint="cs"/>
          <w:rtl/>
        </w:rPr>
        <w:t>, תשמ"ח-1988 (להלן</w:t>
      </w:r>
      <w:r w:rsidR="00397883">
        <w:rPr>
          <w:rFonts w:hint="cs"/>
          <w:rtl/>
        </w:rPr>
        <w:t xml:space="preserve"> –</w:t>
      </w:r>
      <w:r w:rsidR="006E1444">
        <w:rPr>
          <w:rFonts w:hint="cs"/>
          <w:rtl/>
        </w:rPr>
        <w:t xml:space="preserve"> </w:t>
      </w:r>
      <w:r>
        <w:rPr>
          <w:rFonts w:hint="cs"/>
          <w:rtl/>
        </w:rPr>
        <w:t xml:space="preserve">חוק </w:t>
      </w:r>
      <w:r w:rsidR="006E1444">
        <w:rPr>
          <w:rFonts w:hint="cs"/>
          <w:rtl/>
        </w:rPr>
        <w:t xml:space="preserve">ההגבלים </w:t>
      </w:r>
      <w:r>
        <w:rPr>
          <w:rFonts w:hint="cs"/>
          <w:rtl/>
        </w:rPr>
        <w:t>או חוק ההגבלים העסקיים</w:t>
      </w:r>
      <w:r w:rsidRPr="00096947">
        <w:rPr>
          <w:rFonts w:hint="cs"/>
          <w:rtl/>
        </w:rPr>
        <w:t>)</w:t>
      </w:r>
      <w:r>
        <w:rPr>
          <w:rFonts w:hint="cs"/>
          <w:rtl/>
        </w:rPr>
        <w:t xml:space="preserve"> בשילוב עם סעיפים </w:t>
      </w:r>
      <w:hyperlink r:id="rId90" w:history="1">
        <w:r w:rsidR="0025156A" w:rsidRPr="0025156A">
          <w:rPr>
            <w:color w:val="0000FF"/>
            <w:u w:val="single"/>
            <w:rtl/>
          </w:rPr>
          <w:t>2(א)</w:t>
        </w:r>
      </w:hyperlink>
      <w:r>
        <w:rPr>
          <w:rFonts w:hint="cs"/>
          <w:rtl/>
        </w:rPr>
        <w:t xml:space="preserve">, </w:t>
      </w:r>
      <w:hyperlink r:id="rId91" w:history="1">
        <w:r w:rsidR="0025156A" w:rsidRPr="0025156A">
          <w:rPr>
            <w:color w:val="0000FF"/>
            <w:u w:val="single"/>
            <w:rtl/>
          </w:rPr>
          <w:t>2(ב)(3)</w:t>
        </w:r>
      </w:hyperlink>
      <w:r>
        <w:rPr>
          <w:rFonts w:hint="cs"/>
          <w:rtl/>
        </w:rPr>
        <w:t xml:space="preserve">, </w:t>
      </w:r>
      <w:hyperlink r:id="rId92" w:history="1">
        <w:r w:rsidR="0025156A" w:rsidRPr="0025156A">
          <w:rPr>
            <w:color w:val="0000FF"/>
            <w:u w:val="single"/>
            <w:rtl/>
          </w:rPr>
          <w:t>4</w:t>
        </w:r>
      </w:hyperlink>
      <w:r>
        <w:rPr>
          <w:rFonts w:hint="cs"/>
          <w:rtl/>
        </w:rPr>
        <w:t xml:space="preserve"> </w:t>
      </w:r>
      <w:hyperlink r:id="rId93" w:history="1">
        <w:r w:rsidR="0025156A" w:rsidRPr="0025156A">
          <w:rPr>
            <w:color w:val="0000FF"/>
            <w:u w:val="single"/>
            <w:rtl/>
          </w:rPr>
          <w:t>וסעיף 48</w:t>
        </w:r>
      </w:hyperlink>
      <w:r>
        <w:rPr>
          <w:rFonts w:hint="cs"/>
          <w:rtl/>
        </w:rPr>
        <w:t xml:space="preserve"> לחוק</w:t>
      </w:r>
      <w:r w:rsidRPr="00096947">
        <w:rPr>
          <w:rFonts w:hint="cs"/>
          <w:rtl/>
        </w:rPr>
        <w:t xml:space="preserve">. </w:t>
      </w:r>
    </w:p>
    <w:p w:rsidR="006A180F" w:rsidRDefault="006A180F" w:rsidP="006A180F">
      <w:pPr>
        <w:pStyle w:val="a"/>
        <w:rPr>
          <w:rFonts w:hint="cs"/>
          <w:rtl/>
        </w:rPr>
      </w:pPr>
      <w:r>
        <w:rPr>
          <w:rFonts w:hint="cs"/>
          <w:rtl/>
        </w:rPr>
        <w:t>לאחר שמיעתן של ראיות הצדדים זיכה בית משפט קמא את המשיבים. באשר למעורבים הנוספים בפרשה, חלקם הודו בעבירות שיוחסו להם במסגרת הסדר טיעון והורשעו, ובאשר לאחרים, חזרה בה המערערת מהאישום.</w:t>
      </w:r>
    </w:p>
    <w:p w:rsidR="006A180F" w:rsidRDefault="006A180F" w:rsidP="006A180F">
      <w:pPr>
        <w:pStyle w:val="a"/>
        <w:rPr>
          <w:rFonts w:hint="cs"/>
          <w:rtl/>
        </w:rPr>
      </w:pPr>
      <w:r>
        <w:rPr>
          <w:rFonts w:hint="cs"/>
          <w:rtl/>
        </w:rPr>
        <w:t>הערעור שבפנינו, שהוגש מטעם המדינה, מופנה נגד זיכוים של המשיבים.</w:t>
      </w:r>
    </w:p>
    <w:p w:rsidR="006A180F" w:rsidRPr="006A180F" w:rsidRDefault="006A180F" w:rsidP="006A180F">
      <w:pPr>
        <w:pStyle w:val="a"/>
        <w:rPr>
          <w:rFonts w:cs="Miriam" w:hint="cs"/>
          <w:szCs w:val="19"/>
          <w:rtl/>
        </w:rPr>
      </w:pPr>
      <w:r w:rsidRPr="006A180F">
        <w:rPr>
          <w:rFonts w:cs="Miriam" w:hint="cs"/>
          <w:szCs w:val="19"/>
          <w:rtl/>
        </w:rPr>
        <w:t>התשתית העובדתית</w:t>
      </w:r>
    </w:p>
    <w:p w:rsidR="00CD5C20" w:rsidRDefault="006A180F" w:rsidP="006A180F">
      <w:pPr>
        <w:pStyle w:val="a"/>
        <w:rPr>
          <w:rtl/>
        </w:rPr>
      </w:pPr>
      <w:r>
        <w:rPr>
          <w:rFonts w:hint="cs"/>
          <w:rtl/>
        </w:rPr>
        <w:t>2.</w:t>
      </w:r>
      <w:r>
        <w:rPr>
          <w:rFonts w:hint="cs"/>
          <w:rtl/>
        </w:rPr>
        <w:tab/>
        <w:t xml:space="preserve">בשנת 1983 זכתה חברת מנורה במכרז מס' 28/83 של עיריית חיפה, לתחזוקת חלק ממערכת הרמזורים בעיר. כאמור, עד לאותה שנה עשתה זאת אריאל, ועקב זכייתה של מנורה במכרז פרץ בין שתי החברות סכסוך שהוביל לתחרות עזה ביניהן. במהלך השנים הבאות התנהלו כמה מאבקים משפטיים אשר הצדדים להם היו עיריית חיפה, חברת אריאל, חברת מנורה וחברת סינגלור, שעסקה אף היא בתחום זה. אותם הליכים משפטיים עסקו בעיקר בשאלת חובתה של עיריית חיפה לערוך מכרז לתחזוקת מערכת </w:t>
      </w:r>
    </w:p>
    <w:p w:rsidR="006A180F" w:rsidRDefault="00CD5C20" w:rsidP="00CD5C20">
      <w:pPr>
        <w:pStyle w:val="a"/>
        <w:ind w:firstLine="0"/>
        <w:rPr>
          <w:rFonts w:hint="cs"/>
          <w:rtl/>
        </w:rPr>
      </w:pPr>
      <w:r>
        <w:rPr>
          <w:rtl/>
        </w:rPr>
        <w:br w:type="page"/>
      </w:r>
      <w:r w:rsidR="006A180F">
        <w:rPr>
          <w:rFonts w:hint="cs"/>
          <w:rtl/>
        </w:rPr>
        <w:t xml:space="preserve">הרמזורים, וזאת על רקע ניסיונותיה של העירייה להתקשר בהסכם עם חברת מנורה בלי להידרש למכרז. עמדה זו של העירייה נבעה מהבנתה שזכייה של חברה אחרת במכרז תהיה כרוכה בייקור עלות תחזוקתם של הרמזורים, באשר הדבר יחייב החלפה של המנגנונים הקבועים בהם. כאן המקום להבהיר כי מנגנוני הרמזורים ומרכז הבקרה הפועל בעיר מיוצרים על ידי חברה גרמנית, שנציגתה הבלעדית בישראל היא מנורה. במצב זה היה חשש כי מנורה לא תהיה מוכנה להעמיד לרשות הזוכה במכרז את הידע הטכני שיידרש לצורך תחזוקת הרמזורים, והדבר עלול לחייב את החלפת המנגנונים, ומכאן ועד לייקור עלות התחזוקה הדרך קצרה. </w:t>
      </w:r>
    </w:p>
    <w:p w:rsidR="006A180F" w:rsidRDefault="006A180F" w:rsidP="00024721">
      <w:pPr>
        <w:pStyle w:val="a"/>
        <w:rPr>
          <w:rFonts w:hint="cs"/>
          <w:rtl/>
        </w:rPr>
      </w:pPr>
      <w:r>
        <w:rPr>
          <w:rFonts w:hint="cs"/>
          <w:rtl/>
        </w:rPr>
        <w:t>בסופו של יום, ומכוח הוראתו של בית המשפט הגבוה לצדק, פרסמה העירייה בשנת 1992 מכרז נוסף (מכרז 26/92, שייקרא להלן</w:t>
      </w:r>
      <w:r w:rsidR="00024721">
        <w:rPr>
          <w:rFonts w:hint="cs"/>
          <w:rtl/>
        </w:rPr>
        <w:t xml:space="preserve"> –</w:t>
      </w:r>
      <w:r>
        <w:rPr>
          <w:rFonts w:hint="cs"/>
          <w:rtl/>
        </w:rPr>
        <w:t xml:space="preserve"> מכרז חיפה). ביום 25.10.</w:t>
      </w:r>
      <w:r w:rsidR="00392EF2">
        <w:rPr>
          <w:rFonts w:hint="cs"/>
          <w:rtl/>
        </w:rPr>
        <w:t>19</w:t>
      </w:r>
      <w:r>
        <w:rPr>
          <w:rFonts w:hint="cs"/>
          <w:rtl/>
        </w:rPr>
        <w:t>92, יומיים בלבד לפני המועד האחרון להגשת ההצעות לאותו מכרז, חתמו אריאל ומנורה על שטר בוררין (להלן</w:t>
      </w:r>
      <w:r w:rsidR="00392EF2">
        <w:rPr>
          <w:rFonts w:hint="cs"/>
          <w:rtl/>
        </w:rPr>
        <w:t xml:space="preserve"> –</w:t>
      </w:r>
      <w:r>
        <w:rPr>
          <w:rFonts w:hint="cs"/>
          <w:rtl/>
        </w:rPr>
        <w:t xml:space="preserve"> ההסכם), אשר על פי נוסחו נועד ליישב "חילוקי דעות לגבי חובם של מנורה איזו ו/או מנורה רמזורים ו/או יצחק ו/או אלי... לאריאל ו/או להרשלום". מי שקיבל על עצמו לשמש בורר בין החברות ועשה זאת ללא תמורה, היה המשיב 3, מר שי אופיר. בכתב האישום נטען כי הסכם זה היה מסווה ליצירתו של הסדר כובל, כהגדרתו </w:t>
      </w:r>
      <w:hyperlink r:id="rId94" w:history="1">
        <w:r w:rsidR="0025156A" w:rsidRPr="0025156A">
          <w:rPr>
            <w:color w:val="0000FF"/>
            <w:u w:val="single"/>
            <w:rtl/>
          </w:rPr>
          <w:t>בסעיף 2</w:t>
        </w:r>
      </w:hyperlink>
      <w:r>
        <w:rPr>
          <w:rFonts w:hint="cs"/>
          <w:rtl/>
        </w:rPr>
        <w:t xml:space="preserve"> ל</w:t>
      </w:r>
      <w:hyperlink r:id="rId95" w:history="1">
        <w:r w:rsidR="00A7624C" w:rsidRPr="00A7624C">
          <w:rPr>
            <w:rStyle w:val="Hyperlink"/>
            <w:rtl/>
          </w:rPr>
          <w:t>חוק ההגבלים העסקיים</w:t>
        </w:r>
      </w:hyperlink>
      <w:r>
        <w:rPr>
          <w:rFonts w:hint="cs"/>
          <w:rtl/>
        </w:rPr>
        <w:t>.</w:t>
      </w:r>
    </w:p>
    <w:p w:rsidR="006A180F" w:rsidRDefault="006A180F" w:rsidP="006A180F">
      <w:pPr>
        <w:pStyle w:val="a"/>
        <w:rPr>
          <w:rFonts w:hint="cs"/>
          <w:rtl/>
        </w:rPr>
      </w:pPr>
      <w:r>
        <w:rPr>
          <w:rFonts w:hint="cs"/>
          <w:rtl/>
        </w:rPr>
        <w:t>לענייננו חשובה הוראתו של סעיף 13 להסכם, שבו התחייבה אריאל הלכה למעשה להימנע מלהשתתף במכרז חיפה, ובלשון המקור:</w:t>
      </w:r>
    </w:p>
    <w:p w:rsidR="006A180F" w:rsidRDefault="006A180F" w:rsidP="00392EF2">
      <w:pPr>
        <w:pStyle w:val="a4"/>
        <w:spacing w:after="120"/>
        <w:rPr>
          <w:rFonts w:hint="cs"/>
          <w:rtl/>
        </w:rPr>
      </w:pPr>
      <w:r>
        <w:rPr>
          <w:rFonts w:hint="cs"/>
          <w:rtl/>
        </w:rPr>
        <w:t>"א. אריאל ו/או הרשלום מתחייבים בזה כי אריאל ו/או כל חברה הקשורה בהם, במישרין או בעקיפין, לרבות וימאזור בע"מ, לא יחתמו על הסכם עם עיריית חיפה לביצוע עבודות כלשהן על</w:t>
      </w:r>
      <w:r w:rsidRPr="00392EF2">
        <w:rPr>
          <w:rFonts w:hint="cs"/>
          <w:position w:val="4"/>
          <w:rtl/>
        </w:rPr>
        <w:t>-</w:t>
      </w:r>
      <w:r>
        <w:rPr>
          <w:rFonts w:hint="cs"/>
          <w:rtl/>
        </w:rPr>
        <w:t xml:space="preserve">פי מכרז מס' 26/92 (להלן: 'מכרז חיפה') או מכרז אחר שיצא במקומו. </w:t>
      </w:r>
    </w:p>
    <w:p w:rsidR="006A180F" w:rsidRDefault="006A180F" w:rsidP="00392EF2">
      <w:pPr>
        <w:pStyle w:val="a4"/>
        <w:spacing w:after="120"/>
        <w:rPr>
          <w:rFonts w:hint="cs"/>
          <w:rtl/>
        </w:rPr>
      </w:pPr>
      <w:r>
        <w:rPr>
          <w:rFonts w:hint="cs"/>
          <w:rtl/>
        </w:rPr>
        <w:t>ב. להבטחת קיום התחייבותם של אריאל ו/או הרשלום כאמור בס"ק א' לעיל, תפקיד אריאל בתוך__ ימים מיום חתימת שטר בוררין זה, בידיו הנאמנות של הבורר, כתב ערבות בנקאית אוטונומית ובלתי מותנית בסך של __ ש"ח, צמוד למדד המחירים לצרכן (להלן: 'המדד') לטובת מנורה איזו אהרון (להלן: 'ערבות אריאל').</w:t>
      </w:r>
    </w:p>
    <w:p w:rsidR="006A180F" w:rsidRDefault="006A180F" w:rsidP="00392EF2">
      <w:pPr>
        <w:pStyle w:val="a4"/>
        <w:spacing w:after="120"/>
        <w:rPr>
          <w:rFonts w:hint="cs"/>
          <w:rtl/>
        </w:rPr>
      </w:pPr>
      <w:r>
        <w:rPr>
          <w:rFonts w:hint="cs"/>
          <w:rtl/>
        </w:rPr>
        <w:t>ג. ערבות אריאל תיעשה למשך 3 חודשים ותוקפה יוארך מעת לעת עד לחתימת הסכם לביצוע עבודות מכרז חיפה בין עיריית חיפה לבין הזוכה במכרז...</w:t>
      </w:r>
    </w:p>
    <w:p w:rsidR="006A180F" w:rsidRDefault="00CD5C20" w:rsidP="00392EF2">
      <w:pPr>
        <w:pStyle w:val="a4"/>
        <w:spacing w:after="120"/>
        <w:rPr>
          <w:rFonts w:hint="cs"/>
          <w:rtl/>
        </w:rPr>
      </w:pPr>
      <w:r>
        <w:rPr>
          <w:rtl/>
        </w:rPr>
        <w:br w:type="page"/>
      </w:r>
      <w:r w:rsidR="006A180F">
        <w:rPr>
          <w:rFonts w:hint="cs"/>
          <w:rtl/>
        </w:rPr>
        <w:t>ד. הבורר יהא חייב למסור לידי מנורה איזו אהרון את ערבות אריאל לאחר שהוכח לו להנחת דעתו כי אריאל ו/או הרשלום הפרו את התחייבותם כלפי קבוצת מנורה על</w:t>
      </w:r>
      <w:r w:rsidR="006A180F" w:rsidRPr="00392EF2">
        <w:rPr>
          <w:rFonts w:hint="cs"/>
          <w:position w:val="4"/>
          <w:rtl/>
        </w:rPr>
        <w:t>-</w:t>
      </w:r>
      <w:r w:rsidR="006A180F">
        <w:rPr>
          <w:rFonts w:hint="cs"/>
          <w:rtl/>
        </w:rPr>
        <w:t>פי ס"ק א לעיל. אין במסירת ערבות אריאל לקבוצת מנורה כדי לגרוע מכל סעד העומד לקבוצת מנורה כלפי אריאל ו/או הרשלום על פי כל דין.</w:t>
      </w:r>
    </w:p>
    <w:p w:rsidR="006A180F" w:rsidRDefault="006A180F" w:rsidP="00392EF2">
      <w:pPr>
        <w:pStyle w:val="a4"/>
        <w:spacing w:after="120"/>
        <w:rPr>
          <w:rFonts w:hint="cs"/>
          <w:rtl/>
        </w:rPr>
      </w:pPr>
      <w:r>
        <w:rPr>
          <w:rFonts w:hint="cs"/>
          <w:rtl/>
        </w:rPr>
        <w:t>ה. הבורר יחזיר את ערבות אריאל לידי אריאל מיד לאחר שייחתם הסכם בין עיריית חיפה לבין הזוכה במכרז חיפה, שאינו סותר את התחייבות אריאל ו/או הרשלום על</w:t>
      </w:r>
      <w:r w:rsidRPr="00392EF2">
        <w:rPr>
          <w:rFonts w:hint="cs"/>
          <w:position w:val="4"/>
          <w:rtl/>
        </w:rPr>
        <w:t>-</w:t>
      </w:r>
      <w:r>
        <w:rPr>
          <w:rFonts w:hint="cs"/>
          <w:rtl/>
        </w:rPr>
        <w:t>פי ס"ק א. לעיל.</w:t>
      </w:r>
    </w:p>
    <w:p w:rsidR="006A180F" w:rsidRDefault="006A180F" w:rsidP="005D40E8">
      <w:pPr>
        <w:pStyle w:val="a4"/>
        <w:rPr>
          <w:rFonts w:hint="cs"/>
          <w:rtl/>
        </w:rPr>
      </w:pPr>
      <w:r>
        <w:rPr>
          <w:rFonts w:hint="cs"/>
          <w:rtl/>
        </w:rPr>
        <w:t>ו. ..."</w:t>
      </w:r>
      <w:r w:rsidR="00392EF2">
        <w:rPr>
          <w:rFonts w:hint="cs"/>
          <w:rtl/>
        </w:rPr>
        <w:t>.</w:t>
      </w:r>
    </w:p>
    <w:p w:rsidR="006A180F" w:rsidRDefault="006A180F" w:rsidP="00024721">
      <w:pPr>
        <w:pStyle w:val="a"/>
        <w:rPr>
          <w:rFonts w:hint="cs"/>
          <w:rtl/>
        </w:rPr>
      </w:pPr>
      <w:r>
        <w:rPr>
          <w:rFonts w:hint="cs"/>
          <w:rtl/>
        </w:rPr>
        <w:t>מכוח אותו הסכם התחייבה מנורה לשלם לאריאל בגין מה שהוגדר כ"סכסוכי העבר" סכום כסף שייקבע על ידי הבורר (סעיף 3 להסכם), ואשר להתחייבות זו נקבע כי "הבורר יהא רשאי לקבוע בפסק דינו כי כחלק מתשלום החוב, יימסרו עבודות שונות... לביצוע על ידי אריאל ו/או וימאזור בע"מ או לכל גוף אחר לפקודת אריאל" (סעיף 7 להסכם). הצדדים אף טרחו והפקידו בידי הבורר מסמכים נוספים אשר (בלשון סעיף</w:t>
      </w:r>
      <w:r w:rsidR="00024721">
        <w:rPr>
          <w:rFonts w:hint="eastAsia"/>
          <w:rtl/>
        </w:rPr>
        <w:t> </w:t>
      </w:r>
      <w:r>
        <w:rPr>
          <w:rFonts w:hint="cs"/>
          <w:rtl/>
        </w:rPr>
        <w:t>14(א) להסכם) "מבטאים הסכמות שהגיעו ביניהם, ומכתבים המודיעים לרשויות שונות על העברת ביצוע העבודות מאת מנורה איזו אהרון לידי אריאל ו/או לידי וימאזור בע"מ". סעיף אחר החשוב לדיון שבפנינו הוא סעיף 16, שבו נקבע כי ההסכם ייכנס לתוקף "לאחר שמי מקבוצת מנורה יקבל את אישור ראש העיר לזכייתה במכרז 26/92 או שייחתם החוזה בגין המכרז האמור".</w:t>
      </w:r>
    </w:p>
    <w:p w:rsidR="006A180F" w:rsidRPr="00E157E6" w:rsidRDefault="006A180F" w:rsidP="006A180F">
      <w:pPr>
        <w:pStyle w:val="a"/>
        <w:rPr>
          <w:rFonts w:hint="cs"/>
        </w:rPr>
      </w:pPr>
      <w:r>
        <w:rPr>
          <w:rFonts w:hint="cs"/>
          <w:rtl/>
        </w:rPr>
        <w:t xml:space="preserve">אריאל קיימה את התחייבותה לפי סעיף 13 להסכם, ולא הגישה הצעה למכרז 26/92. מנגד הגישה חברת מנורה את הצעתה למכרז וזכתה בו, ובחודש דצמבר 1992 נחתם בינה לבין עיריית חיפה חוזה לתחזוקת מערכת הרמזורים בעיר. נציין כי אף על פי שהצעתה של מנורה הייתה הזולה ביותר מבין ההצעות שהוגשו למכרז, היא הייתה יקרה במידה ניכרת מאומדנה של העירייה, אומדן שהתבסס על ממוצע הסכומים ששילמה העירייה במכרזים קודמים. עניין זה עורר תהיות בעיקר לנוכח העובדה שמנורה לא הייתה צריכה להחליף את המנגנונים הקיימים ברמזורים. </w:t>
      </w:r>
    </w:p>
    <w:p w:rsidR="00CD5C20" w:rsidRDefault="006A180F" w:rsidP="00024721">
      <w:pPr>
        <w:pStyle w:val="a"/>
        <w:rPr>
          <w:rtl/>
        </w:rPr>
      </w:pPr>
      <w:r>
        <w:rPr>
          <w:rFonts w:hint="cs"/>
          <w:rtl/>
        </w:rPr>
        <w:t>3.</w:t>
      </w:r>
      <w:r>
        <w:rPr>
          <w:rFonts w:hint="cs"/>
          <w:rtl/>
        </w:rPr>
        <w:tab/>
        <w:t>לאחר כל אלה פנה הרשלום לאופיר בדרישה להחזיר לידי אריאל את הערבות הבנקאית שהפקידה החברה, וכן לפסוק בשאלת חובה של מנורה. ואכן, ביום 15.6.</w:t>
      </w:r>
      <w:r w:rsidR="00392EF2">
        <w:rPr>
          <w:rFonts w:hint="cs"/>
          <w:rtl/>
        </w:rPr>
        <w:t>19</w:t>
      </w:r>
      <w:r>
        <w:rPr>
          <w:rFonts w:hint="cs"/>
          <w:rtl/>
        </w:rPr>
        <w:t xml:space="preserve">93 פסק הבורר כי על מנורה לשלם לאריאל סכום של 1,150,000 ש"ח, והוא </w:t>
      </w:r>
    </w:p>
    <w:p w:rsidR="006A180F" w:rsidRDefault="00CD5C20" w:rsidP="00CD5C20">
      <w:pPr>
        <w:pStyle w:val="a"/>
        <w:ind w:firstLine="0"/>
        <w:rPr>
          <w:rFonts w:hint="cs"/>
          <w:rtl/>
        </w:rPr>
      </w:pPr>
      <w:r>
        <w:rPr>
          <w:rtl/>
        </w:rPr>
        <w:br w:type="page"/>
      </w:r>
      <w:r w:rsidR="006A180F">
        <w:rPr>
          <w:rFonts w:hint="cs"/>
          <w:rtl/>
        </w:rPr>
        <w:t xml:space="preserve">חייבה למסור לאריאל גם את הטיפול במערכת הרמזורים בצמתים שונים בירושלים, שתוחזקו עד אז על ידי מנורה. </w:t>
      </w:r>
    </w:p>
    <w:p w:rsidR="006A180F" w:rsidRDefault="006A180F" w:rsidP="00392EF2">
      <w:pPr>
        <w:pStyle w:val="a"/>
        <w:rPr>
          <w:rFonts w:hint="cs"/>
          <w:rtl/>
        </w:rPr>
      </w:pPr>
      <w:r>
        <w:rPr>
          <w:rFonts w:hint="cs"/>
          <w:rtl/>
        </w:rPr>
        <w:t>כאן המקום לציין כי עובר למתן פסק הבורר תחזקה מנורה 28 צמתים מרומזרים בירושלים, אריאל תחזקה 33 צמתים, וחברת וימאזור 44 צמתים. ב</w:t>
      </w:r>
      <w:r w:rsidRPr="00392EF2">
        <w:rPr>
          <w:rFonts w:hint="cs"/>
          <w:position w:val="4"/>
          <w:rtl/>
        </w:rPr>
        <w:t>-</w:t>
      </w:r>
      <w:r>
        <w:rPr>
          <w:rFonts w:hint="cs"/>
          <w:rtl/>
        </w:rPr>
        <w:t>1994 פרסמה עיריית ירושלים שלושה מכרזים לתחזוקת הרמזורים בעיר (מכרזים 17/94</w:t>
      </w:r>
      <w:r w:rsidR="00392EF2">
        <w:rPr>
          <w:rFonts w:hint="cs"/>
          <w:rtl/>
        </w:rPr>
        <w:t>-</w:t>
      </w:r>
      <w:r>
        <w:rPr>
          <w:rFonts w:hint="cs"/>
          <w:rtl/>
        </w:rPr>
        <w:t xml:space="preserve">19/94). החברות שהשתתפו במכרזים אלה יכלו לבחור בין שתי חלופות: האחת, הצעת מחיר הכוללת החלפה של מנגנון הבקרה של הרמזורים (על ידי החברות שלא התקינו את הרמזורים), והשנייה </w:t>
      </w:r>
      <w:r>
        <w:rPr>
          <w:rFonts w:hint="eastAsia"/>
          <w:rtl/>
        </w:rPr>
        <w:t>–</w:t>
      </w:r>
      <w:r>
        <w:rPr>
          <w:rFonts w:hint="cs"/>
          <w:rtl/>
        </w:rPr>
        <w:t xml:space="preserve"> ללא החלפת המנגנון. העירייה סברה כי הבחירה בין החלופות תביא לידי ביטוי את היתרון היחסי של כל חברה בצמתים שכבר תחזקה, באשר זו לא תצטרך להחליף את מנגנון הבקרה, דבר שעשוי להביא להוזלת ההצעות. במהלך בדיקתן של ההצעות התבררו שתי עובדות מפתיעות בנוגע למכרז 19/94, שעסק ברמזורים שתוחזקו עד אז על ידי מנורה. ראשית, בצד הצעתה של אריאל שכללה החלפה של מנגנוני הרמזורים היא הגישה גם הצעה </w:t>
      </w:r>
      <w:r w:rsidRPr="00392EF2">
        <w:rPr>
          <w:rFonts w:cs="Miriam" w:hint="cs"/>
          <w:szCs w:val="19"/>
          <w:rtl/>
        </w:rPr>
        <w:t>שלא חייבה את החלפת המנגנונים</w:t>
      </w:r>
      <w:r>
        <w:rPr>
          <w:rFonts w:hint="cs"/>
          <w:rtl/>
        </w:rPr>
        <w:t>, ללמדך שאריאל הניחה כי תוכל להשתמש במנגנונים שהותקנו על ידי מנורה. שנית, הצעותיה של מנורה היו גבוהות לאין שיעור מהצעותיה של אריאל. והכוונה גם לזו שכללה את החלפת המנגנונים. בתאריך 28.7.</w:t>
      </w:r>
      <w:r w:rsidR="00392EF2">
        <w:rPr>
          <w:rFonts w:hint="cs"/>
          <w:rtl/>
        </w:rPr>
        <w:t>19</w:t>
      </w:r>
      <w:r>
        <w:rPr>
          <w:rFonts w:hint="cs"/>
          <w:rtl/>
        </w:rPr>
        <w:t>94 הכריזה ועדת המכרזים של עיריית ירושלים על זכייתה של אריאל במכרז 19/94.</w:t>
      </w:r>
    </w:p>
    <w:p w:rsidR="006A180F" w:rsidRDefault="006A180F" w:rsidP="006A180F">
      <w:pPr>
        <w:pStyle w:val="a"/>
        <w:rPr>
          <w:rFonts w:hint="cs"/>
          <w:rtl/>
        </w:rPr>
      </w:pPr>
      <w:r>
        <w:rPr>
          <w:rFonts w:hint="cs"/>
          <w:rtl/>
        </w:rPr>
        <w:t xml:space="preserve">ועוד ראוי להדגיש כי בשני מכרזים מאוחרים שערכה עיריית חיפה </w:t>
      </w:r>
      <w:r>
        <w:rPr>
          <w:rFonts w:hint="eastAsia"/>
          <w:rtl/>
        </w:rPr>
        <w:t>–</w:t>
      </w:r>
      <w:r>
        <w:rPr>
          <w:rFonts w:hint="cs"/>
          <w:rtl/>
        </w:rPr>
        <w:t xml:space="preserve"> האחד בשנת 1996 והשני בשנת 1997 </w:t>
      </w:r>
      <w:r>
        <w:rPr>
          <w:rFonts w:hint="eastAsia"/>
          <w:rtl/>
        </w:rPr>
        <w:t>–</w:t>
      </w:r>
      <w:r>
        <w:rPr>
          <w:rFonts w:hint="cs"/>
          <w:rtl/>
        </w:rPr>
        <w:t xml:space="preserve"> זכתה מנורה. נראה כי עובדה זו אינה מפתיעה לאור מכתב ששיגר הרשלום לאופיר בשנת 1996, ובו נאמר כך:</w:t>
      </w:r>
    </w:p>
    <w:p w:rsidR="006A180F" w:rsidRDefault="006A180F" w:rsidP="00392EF2">
      <w:pPr>
        <w:pStyle w:val="a4"/>
        <w:spacing w:after="120"/>
        <w:rPr>
          <w:rFonts w:hint="cs"/>
          <w:rtl/>
        </w:rPr>
      </w:pPr>
      <w:r>
        <w:rPr>
          <w:rFonts w:hint="cs"/>
          <w:rtl/>
        </w:rPr>
        <w:t>"לכבוד שי אופיר</w:t>
      </w:r>
    </w:p>
    <w:p w:rsidR="006A180F" w:rsidRDefault="006A180F" w:rsidP="00392EF2">
      <w:pPr>
        <w:pStyle w:val="a4"/>
        <w:spacing w:after="120"/>
        <w:rPr>
          <w:rFonts w:hint="cs"/>
          <w:rtl/>
        </w:rPr>
      </w:pPr>
      <w:r>
        <w:rPr>
          <w:rFonts w:hint="cs"/>
          <w:rtl/>
        </w:rPr>
        <w:t>הנדון: מכרזים בעיריית חיפה</w:t>
      </w:r>
    </w:p>
    <w:p w:rsidR="006A180F" w:rsidRDefault="006A180F" w:rsidP="005D40E8">
      <w:pPr>
        <w:pStyle w:val="a4"/>
        <w:rPr>
          <w:rFonts w:hint="cs"/>
          <w:rtl/>
        </w:rPr>
      </w:pPr>
      <w:r>
        <w:rPr>
          <w:rFonts w:hint="cs"/>
          <w:rtl/>
        </w:rPr>
        <w:t>הננו מתכבדים להודיעך בהמשך לשיחתנו מהבוקר כי אנו מסכימים באם יהיו מכרזים לעבודות בעיריית חיפה, להיות איתך בקשר ולהגיש הצעות בתיאום ובשיתוף איתך".</w:t>
      </w:r>
    </w:p>
    <w:p w:rsidR="006A180F" w:rsidRPr="00392EF2" w:rsidRDefault="006A180F" w:rsidP="00392EF2">
      <w:pPr>
        <w:pStyle w:val="a"/>
        <w:rPr>
          <w:rFonts w:cs="Miriam" w:hint="cs"/>
          <w:szCs w:val="19"/>
          <w:rtl/>
        </w:rPr>
      </w:pPr>
      <w:r w:rsidRPr="00392EF2">
        <w:rPr>
          <w:rFonts w:cs="Miriam" w:hint="cs"/>
          <w:szCs w:val="19"/>
          <w:rtl/>
        </w:rPr>
        <w:t>ההליכים בפני בית משפט קמא</w:t>
      </w:r>
    </w:p>
    <w:p w:rsidR="00CD5C20" w:rsidRDefault="006A180F" w:rsidP="00024721">
      <w:pPr>
        <w:pStyle w:val="a"/>
        <w:rPr>
          <w:rtl/>
        </w:rPr>
      </w:pPr>
      <w:r>
        <w:rPr>
          <w:rFonts w:hint="cs"/>
          <w:rtl/>
        </w:rPr>
        <w:t>4.</w:t>
      </w:r>
      <w:r>
        <w:rPr>
          <w:rFonts w:hint="cs"/>
          <w:rtl/>
        </w:rPr>
        <w:tab/>
        <w:t xml:space="preserve">המערערת טענה בפני הערכאה הראשונה וחזרה על כך גם בפנינו כי הסכם הבוררות ופסק הבורר שניתן מכוחו מלמדים כי מנורה ואריאל חטאו כאחת בחלוקת שוק, היינו מנורה הבטיחה לעצמה את תחזוקת הרמזורים בחיפה, ואריאל הבטיחה </w:t>
      </w:r>
    </w:p>
    <w:p w:rsidR="006A180F" w:rsidRDefault="00CD5C20" w:rsidP="00CD5C20">
      <w:pPr>
        <w:pStyle w:val="a"/>
        <w:ind w:firstLine="0"/>
        <w:rPr>
          <w:rFonts w:hint="cs"/>
          <w:rtl/>
        </w:rPr>
      </w:pPr>
      <w:r>
        <w:rPr>
          <w:rtl/>
        </w:rPr>
        <w:br w:type="page"/>
      </w:r>
      <w:r w:rsidR="006A180F">
        <w:rPr>
          <w:rFonts w:hint="cs"/>
          <w:rtl/>
        </w:rPr>
        <w:t>לעצמה את התחזוקה בירושלים. המערערת הוסיפה וטענה כי מכתבו של הרשלום לאופיר משנת 1996 מלמד כי ההסכמה להימנע מתחרות לא הצטמצמה רק למכרז חיפה משנת 1992, אלא חלה גם על מכרזים עתידיים אחרים. באשר לאופיר טענה המערערת כי הוא שאיפשר להסכמים בין מנורה לאריאל לקרום עור וגידים, והוא שגם דאג לאכיפתם.</w:t>
      </w:r>
    </w:p>
    <w:p w:rsidR="006A180F" w:rsidRDefault="006A180F" w:rsidP="006A180F">
      <w:pPr>
        <w:pStyle w:val="a"/>
        <w:rPr>
          <w:rFonts w:hint="cs"/>
          <w:rtl/>
        </w:rPr>
      </w:pPr>
      <w:r>
        <w:rPr>
          <w:rFonts w:hint="cs"/>
          <w:rtl/>
        </w:rPr>
        <w:t>5.</w:t>
      </w:r>
      <w:r>
        <w:rPr>
          <w:rFonts w:hint="cs"/>
          <w:rtl/>
        </w:rPr>
        <w:tab/>
        <w:t>המשיבים לא הכחישו את קיומן של ההסכמות בין מנורה ובין אריאל, ואף אישרו כי פסק הבורר שבא בעקבותיהן קוים. עם זאת, לשיטתם, בהסכמות אלו לא התקיימו יסודותיה של עבירת הסדר כובל, הואיל והתחייבותה של אריאל בהסכם הבוררות נועדה למנוע את נקיטתם של אמצעים משפטיים על ידיה, אמצעים שהיו עלולים לסכל את זכייתה של מנורה במכרז. נטען כי הסכמה זו אינה הסדר כובל, אלא השלמה של אריאל עם מצב קיים הנובע מחוסר יכולתה להתמודד עם מנורה בחיפה.</w:t>
      </w:r>
    </w:p>
    <w:p w:rsidR="006A180F" w:rsidRPr="002179DF" w:rsidRDefault="006A180F" w:rsidP="00024721">
      <w:pPr>
        <w:pStyle w:val="a"/>
        <w:rPr>
          <w:rFonts w:hint="cs"/>
          <w:rtl/>
        </w:rPr>
      </w:pPr>
      <w:r>
        <w:rPr>
          <w:rFonts w:hint="cs"/>
          <w:rtl/>
        </w:rPr>
        <w:t xml:space="preserve">באשר להתחייבויותיה של מנורה כלפי אריאל טענו המשיבים כי הסכום שמנורה התחייבה להעביר נועד לפצותה על נזקים שנגרמו לאריאל בעבר, ולא בתמורה להתחייבות עתידית שלה להימנע מלהתמודד במכרז חיפה. הרצון לפצות את אריאל הוא שעמד, לטענת המשיבים, גם מאחורי ההחלטה למסור לידיה את התחזוקה בצמתים בירושלים. באשר לאלה נטען עוד כי מנורה העבירה את השליטה בהם לאריאל בקבלנות משנה, ומכוח חוזה שהיה לה עם העירייה, לאחר שנוכחה לדעת כי תחזוקתם של צמתים אלה על ידיה כרוכה בהפסד. כן נטען כי להעברת הצמתים בירושלים לאריאל נתקבל אישור של עיריית ירושלים. המשיבים הדגישו עוד כי להסכמות שגובשו ביניהם לא הייתה השלכה של ממש על התחרות, ועל כן גם אם ייקבע כי יש בהן משום עבירה של הסדר כובל, עומדת להם ההגנה הקבועה </w:t>
      </w:r>
      <w:hyperlink r:id="rId96" w:history="1">
        <w:r w:rsidR="0025156A" w:rsidRPr="0025156A">
          <w:rPr>
            <w:color w:val="0000FF"/>
            <w:u w:val="single"/>
            <w:rtl/>
          </w:rPr>
          <w:t>בסעיף 34יז</w:t>
        </w:r>
      </w:hyperlink>
      <w:r>
        <w:rPr>
          <w:rFonts w:hint="cs"/>
          <w:rtl/>
        </w:rPr>
        <w:t xml:space="preserve"> ל</w:t>
      </w:r>
      <w:hyperlink r:id="rId97" w:history="1">
        <w:r w:rsidR="00A7624C" w:rsidRPr="00A7624C">
          <w:rPr>
            <w:rStyle w:val="Hyperlink"/>
            <w:rtl/>
          </w:rPr>
          <w:t>חוק העונשין</w:t>
        </w:r>
      </w:hyperlink>
      <w:r>
        <w:rPr>
          <w:rFonts w:hint="cs"/>
          <w:rtl/>
        </w:rPr>
        <w:t xml:space="preserve">, תשל"ז-1977 בדבר זוטי דברים. אופיר טען כי לא היה מודע כלל להיבט הפלילי שבהסכם בין אריאל למנורה, ומכל מקום מתוקף תפקידו כבורר עומדת לו החסינות מפני העמדה לדין שממנה נהנית הרשות השופטת. </w:t>
      </w:r>
    </w:p>
    <w:p w:rsidR="006A180F" w:rsidRDefault="006A180F" w:rsidP="006A180F">
      <w:pPr>
        <w:pStyle w:val="a"/>
        <w:rPr>
          <w:rFonts w:hint="cs"/>
          <w:rtl/>
        </w:rPr>
      </w:pPr>
      <w:r>
        <w:rPr>
          <w:rFonts w:hint="cs"/>
          <w:rtl/>
        </w:rPr>
        <w:t>6.</w:t>
      </w:r>
      <w:r>
        <w:rPr>
          <w:rFonts w:hint="cs"/>
          <w:rtl/>
        </w:rPr>
        <w:tab/>
        <w:t>בית משפט קמא זיכה את המשיבים מהעבירות שיוחסו להם בכתב האישום, בהתבסס על כמה טעמים:</w:t>
      </w:r>
    </w:p>
    <w:p w:rsidR="006A180F" w:rsidRDefault="006A180F" w:rsidP="006A180F">
      <w:pPr>
        <w:pStyle w:val="a"/>
        <w:rPr>
          <w:rFonts w:hint="cs"/>
          <w:rtl/>
        </w:rPr>
      </w:pPr>
      <w:r w:rsidRPr="00D53A37">
        <w:rPr>
          <w:rFonts w:hint="cs"/>
          <w:rtl/>
        </w:rPr>
        <w:t>(א)</w:t>
      </w:r>
      <w:r>
        <w:rPr>
          <w:rFonts w:hint="cs"/>
          <w:rtl/>
        </w:rPr>
        <w:tab/>
        <w:t xml:space="preserve"> </w:t>
      </w:r>
      <w:r w:rsidRPr="00DA09E1">
        <w:rPr>
          <w:rFonts w:hint="cs"/>
          <w:rtl/>
        </w:rPr>
        <w:t>מאפייניו של שוק הרמזורים</w:t>
      </w:r>
      <w:r>
        <w:rPr>
          <w:rFonts w:hint="cs"/>
          <w:rtl/>
        </w:rPr>
        <w:t>:</w:t>
      </w:r>
      <w:r w:rsidRPr="00DA09E1">
        <w:rPr>
          <w:rFonts w:hint="cs"/>
          <w:rtl/>
        </w:rPr>
        <w:t xml:space="preserve"> </w:t>
      </w:r>
    </w:p>
    <w:p w:rsidR="00CD5C20" w:rsidRDefault="006A180F" w:rsidP="006A180F">
      <w:pPr>
        <w:pStyle w:val="a"/>
        <w:rPr>
          <w:rtl/>
        </w:rPr>
      </w:pPr>
      <w:r>
        <w:rPr>
          <w:rFonts w:hint="cs"/>
          <w:rtl/>
        </w:rPr>
        <w:t>בית משפט קמא מצא כי שוק הרמזורים, ובייחוד בעיר חיפה, מכביד על התחרות</w:t>
      </w:r>
      <w:r w:rsidRPr="000A33D4">
        <w:rPr>
          <w:rFonts w:hint="cs"/>
          <w:rtl/>
        </w:rPr>
        <w:t xml:space="preserve"> </w:t>
      </w:r>
      <w:r>
        <w:rPr>
          <w:rFonts w:hint="cs"/>
          <w:rtl/>
        </w:rPr>
        <w:t xml:space="preserve">מחמת אופיו. נקבע כי מי שמחזיק בידע הטכני להתקנת הרמזור נהנה מיתרון בכל הנוגע לתחזוקתו. זיקה זו שבין ההתקנה לתחזוקה מביאה לכך שבהיעדר שיתוף פעולה </w:t>
      </w:r>
    </w:p>
    <w:p w:rsidR="006A180F" w:rsidRDefault="00CD5C20" w:rsidP="00CD5C20">
      <w:pPr>
        <w:pStyle w:val="a"/>
        <w:ind w:firstLine="0"/>
        <w:rPr>
          <w:rFonts w:hint="cs"/>
          <w:rtl/>
        </w:rPr>
      </w:pPr>
      <w:r>
        <w:rPr>
          <w:rtl/>
        </w:rPr>
        <w:br w:type="page"/>
      </w:r>
      <w:r w:rsidR="006A180F">
        <w:rPr>
          <w:rFonts w:hint="cs"/>
          <w:rtl/>
        </w:rPr>
        <w:t>מצדה של החברה המתקינה עלולים להתעורר קשיים בהפעלה השוטפת של הרמזור, עניין שמשפיע באופן מידי על רמת הבטיחות באותו צומת. עקב כך נטו רשויות מקומיות רבות, ואף מע"צ, לשכור את שירותיה של החברה שהתקינה את הרמזור גם לתחזוקתו.</w:t>
      </w:r>
    </w:p>
    <w:p w:rsidR="006A180F" w:rsidRDefault="006A180F" w:rsidP="00024721">
      <w:pPr>
        <w:pStyle w:val="a"/>
        <w:rPr>
          <w:rFonts w:hint="cs"/>
          <w:rtl/>
        </w:rPr>
      </w:pPr>
      <w:r>
        <w:rPr>
          <w:rFonts w:hint="cs"/>
          <w:rtl/>
        </w:rPr>
        <w:t xml:space="preserve">ועוד נקבע כי הכבדה זו על התחרות הייתה אופיינית בייחוד בחיפה. בשנת 1989 הקימה העירייה עם מנורה, אשר שימשה קבלן משנה של חברת </w:t>
      </w:r>
      <w:r>
        <w:rPr>
          <w:rFonts w:hint="cs"/>
        </w:rPr>
        <w:t>SBH</w:t>
      </w:r>
      <w:r>
        <w:rPr>
          <w:rFonts w:hint="cs"/>
          <w:rtl/>
        </w:rPr>
        <w:t xml:space="preserve"> הגרמנית, מרכז בקרה חדיש, ייחודי ויקר, שהפעלתו הייתה מורכבת במיוחד. מצב זה הקנה לחברת מנורה יתרון של ממש על חברות אחרות, הואיל והיא החזיקה בידיה ידע טכני שלא היה מצוי אף לא בידי אחת ממתחרותיה. נקבע כי לאור השקעתה של עיריית חיפה במרכז הבקרה החדש "</w:t>
      </w:r>
      <w:r w:rsidR="00856CE0">
        <w:rPr>
          <w:rFonts w:hint="cs"/>
          <w:rtl/>
        </w:rPr>
        <w:t>...[]</w:t>
      </w:r>
      <w:r>
        <w:rPr>
          <w:rFonts w:hint="cs"/>
          <w:rtl/>
        </w:rPr>
        <w:t xml:space="preserve">התקשרות עם חברת רימזור שאינה מנורה, אשר לא יהא בידה לקיים את דרישות הקשר עם מרכז הבקרה, משמעותה הייתה גם </w:t>
      </w:r>
      <w:r w:rsidR="00B2637C">
        <w:rPr>
          <w:rFonts w:hint="cs"/>
          <w:rtl/>
        </w:rPr>
        <w:t>'</w:t>
      </w:r>
      <w:r>
        <w:rPr>
          <w:rFonts w:hint="cs"/>
          <w:rtl/>
        </w:rPr>
        <w:t>ויתור</w:t>
      </w:r>
      <w:r w:rsidR="00B2637C">
        <w:rPr>
          <w:rFonts w:hint="cs"/>
          <w:rtl/>
        </w:rPr>
        <w:t xml:space="preserve">' </w:t>
      </w:r>
      <w:r>
        <w:rPr>
          <w:rFonts w:hint="cs"/>
          <w:rtl/>
        </w:rPr>
        <w:t>העירייה על השקעה זו. עמדתה של עיר</w:t>
      </w:r>
      <w:r w:rsidR="00856CE0">
        <w:rPr>
          <w:rFonts w:hint="cs"/>
          <w:rtl/>
        </w:rPr>
        <w:t>י</w:t>
      </w:r>
      <w:r>
        <w:rPr>
          <w:rFonts w:hint="cs"/>
          <w:rtl/>
        </w:rPr>
        <w:t>ית חיפה כנגד התקשרות עם חברות אחרות נגזרה אפוא מהרצון לנצל את ההשקעה במרכז הבקרה, ניצול שהיה מתאפשר ע</w:t>
      </w:r>
      <w:r w:rsidR="00856CE0">
        <w:rPr>
          <w:rFonts w:hint="cs"/>
          <w:rtl/>
        </w:rPr>
        <w:t>ל</w:t>
      </w:r>
      <w:r w:rsidR="00856CE0" w:rsidRPr="00856CE0">
        <w:rPr>
          <w:rFonts w:hint="cs"/>
          <w:position w:val="4"/>
          <w:rtl/>
        </w:rPr>
        <w:t>-</w:t>
      </w:r>
      <w:r w:rsidR="00856CE0">
        <w:rPr>
          <w:rFonts w:hint="cs"/>
          <w:rtl/>
        </w:rPr>
        <w:t>יד</w:t>
      </w:r>
      <w:r>
        <w:rPr>
          <w:rFonts w:hint="cs"/>
          <w:rtl/>
        </w:rPr>
        <w:t>י התקשרות עם מנורה דווקא</w:t>
      </w:r>
      <w:r w:rsidR="00856CE0">
        <w:rPr>
          <w:rFonts w:hint="cs"/>
          <w:rtl/>
        </w:rPr>
        <w:t>...</w:t>
      </w:r>
      <w:r>
        <w:rPr>
          <w:rFonts w:hint="cs"/>
          <w:rtl/>
        </w:rPr>
        <w:t>" (</w:t>
      </w:r>
      <w:r w:rsidR="00024721" w:rsidRPr="00024721">
        <w:rPr>
          <w:rFonts w:hint="cs"/>
          <w:rtl/>
        </w:rPr>
        <w:t xml:space="preserve">הכרעת </w:t>
      </w:r>
      <w:r w:rsidR="006E1444">
        <w:rPr>
          <w:rFonts w:hint="cs"/>
          <w:rtl/>
        </w:rPr>
        <w:t>ה</w:t>
      </w:r>
      <w:r w:rsidR="00024721" w:rsidRPr="00024721">
        <w:rPr>
          <w:rFonts w:hint="cs"/>
          <w:rtl/>
        </w:rPr>
        <w:t>דין ב</w:t>
      </w:r>
      <w:hyperlink r:id="rId98" w:history="1">
        <w:r w:rsidR="004C5B7C" w:rsidRPr="004C5B7C">
          <w:rPr>
            <w:rStyle w:val="Hyperlink"/>
            <w:rFonts w:cs="Miriam" w:hint="eastAsia"/>
            <w:szCs w:val="19"/>
            <w:rtl/>
          </w:rPr>
          <w:t>ת</w:t>
        </w:r>
        <w:r w:rsidR="004C5B7C" w:rsidRPr="004C5B7C">
          <w:rPr>
            <w:rStyle w:val="Hyperlink"/>
            <w:rFonts w:cs="Miriam"/>
            <w:szCs w:val="19"/>
            <w:rtl/>
          </w:rPr>
          <w:t>"פ (י-ם) 287/98</w:t>
        </w:r>
      </w:hyperlink>
      <w:r w:rsidR="00856CE0" w:rsidRPr="00856CE0">
        <w:rPr>
          <w:rFonts w:cs="Miriam" w:hint="cs"/>
          <w:szCs w:val="19"/>
          <w:rtl/>
        </w:rPr>
        <w:t xml:space="preserve"> מדינת ישראל נ' מנורה (רמזורים) בע"מ</w:t>
      </w:r>
      <w:r w:rsidR="00856CE0">
        <w:rPr>
          <w:rFonts w:cs="Miriam" w:hint="cs"/>
          <w:szCs w:val="19"/>
          <w:rtl/>
        </w:rPr>
        <w:t xml:space="preserve"> [</w:t>
      </w:r>
      <w:r w:rsidR="00BF001A">
        <w:rPr>
          <w:rFonts w:cs="Miriam" w:hint="cs"/>
          <w:szCs w:val="19"/>
          <w:rtl/>
        </w:rPr>
        <w:t>25</w:t>
      </w:r>
      <w:r w:rsidR="00856CE0">
        <w:rPr>
          <w:rFonts w:cs="Miriam" w:hint="cs"/>
          <w:szCs w:val="19"/>
          <w:rtl/>
        </w:rPr>
        <w:t>]</w:t>
      </w:r>
      <w:r w:rsidR="00856CE0">
        <w:rPr>
          <w:rFonts w:hint="cs"/>
          <w:rtl/>
        </w:rPr>
        <w:t xml:space="preserve">, </w:t>
      </w:r>
      <w:r w:rsidR="00856CE0" w:rsidRPr="00856CE0">
        <w:rPr>
          <w:rFonts w:cs="Miriam" w:hint="cs"/>
          <w:szCs w:val="19"/>
          <w:rtl/>
        </w:rPr>
        <w:t>בעמ'</w:t>
      </w:r>
      <w:r w:rsidR="00BF001A">
        <w:rPr>
          <w:rFonts w:cs="Miriam" w:hint="eastAsia"/>
          <w:szCs w:val="19"/>
          <w:rtl/>
        </w:rPr>
        <w:t> </w:t>
      </w:r>
      <w:r w:rsidR="00856CE0" w:rsidRPr="00856CE0">
        <w:rPr>
          <w:rFonts w:cs="Miriam" w:hint="cs"/>
          <w:szCs w:val="19"/>
          <w:rtl/>
        </w:rPr>
        <w:t>272</w:t>
      </w:r>
      <w:r>
        <w:rPr>
          <w:rFonts w:hint="cs"/>
          <w:rtl/>
        </w:rPr>
        <w:t>). בעקבות זאת נקבע כי בפועל נבצר מאריאל להתמודד במכרז חיפה. בהמשך מצא בית משפט קמא כי המחיר הגבוה שהוצע על ידי מנורה במכרז חיפה אינו מוביל, כשלעצמו, למסקנה כי התקיימה פעילות קרטלית בין מנורה לאריאל. נקבע כי "</w:t>
      </w:r>
      <w:r w:rsidR="00D1641E">
        <w:rPr>
          <w:rFonts w:hint="cs"/>
          <w:rtl/>
        </w:rPr>
        <w:t>...</w:t>
      </w:r>
      <w:r>
        <w:rPr>
          <w:rFonts w:hint="cs"/>
          <w:rtl/>
        </w:rPr>
        <w:t>אם אמנם התרחשה עליית מחירים בחיפה בשל ניצול כ</w:t>
      </w:r>
      <w:r w:rsidR="00D1641E">
        <w:rPr>
          <w:rFonts w:hint="cs"/>
          <w:rtl/>
        </w:rPr>
        <w:t>ו</w:t>
      </w:r>
      <w:r>
        <w:rPr>
          <w:rFonts w:hint="cs"/>
          <w:rtl/>
        </w:rPr>
        <w:t>ח השוק, היה על העירייה להלין על עצמה, לפי שיש לקשור זאת, קודם כ</w:t>
      </w:r>
      <w:r w:rsidR="00D1641E">
        <w:rPr>
          <w:rFonts w:hint="cs"/>
          <w:rtl/>
        </w:rPr>
        <w:t>ו</w:t>
      </w:r>
      <w:r>
        <w:rPr>
          <w:rFonts w:hint="cs"/>
          <w:rtl/>
        </w:rPr>
        <w:t>ל, להעדפה שנתנה היא עצמה למנורה מלכתחילה" (</w:t>
      </w:r>
      <w:r w:rsidR="00D1641E" w:rsidRPr="00D1641E">
        <w:rPr>
          <w:rFonts w:cs="Miriam" w:hint="cs"/>
          <w:szCs w:val="19"/>
          <w:rtl/>
        </w:rPr>
        <w:t>שם</w:t>
      </w:r>
      <w:r w:rsidR="00D1641E">
        <w:rPr>
          <w:rFonts w:hint="cs"/>
          <w:rtl/>
        </w:rPr>
        <w:t xml:space="preserve">, </w:t>
      </w:r>
      <w:r w:rsidR="00D1641E" w:rsidRPr="00D1641E">
        <w:rPr>
          <w:rFonts w:cs="Miriam" w:hint="cs"/>
          <w:szCs w:val="19"/>
          <w:rtl/>
        </w:rPr>
        <w:t>בעמ' 276</w:t>
      </w:r>
      <w:r>
        <w:rPr>
          <w:rFonts w:hint="cs"/>
          <w:rtl/>
        </w:rPr>
        <w:t>).</w:t>
      </w:r>
    </w:p>
    <w:p w:rsidR="006A180F" w:rsidRDefault="006A180F" w:rsidP="006A180F">
      <w:pPr>
        <w:pStyle w:val="a"/>
        <w:rPr>
          <w:rFonts w:hint="cs"/>
          <w:rtl/>
        </w:rPr>
      </w:pPr>
      <w:r w:rsidRPr="006A180F">
        <w:rPr>
          <w:rFonts w:hint="cs"/>
          <w:rtl/>
        </w:rPr>
        <w:t>(ב)</w:t>
      </w:r>
      <w:r>
        <w:rPr>
          <w:rFonts w:cs="Miriam" w:hint="cs"/>
          <w:rtl/>
        </w:rPr>
        <w:tab/>
      </w:r>
      <w:r w:rsidRPr="00DA09E1">
        <w:rPr>
          <w:rFonts w:hint="cs"/>
          <w:rtl/>
        </w:rPr>
        <w:t>תוכנם של הסכם הבוררות ו</w:t>
      </w:r>
      <w:r>
        <w:rPr>
          <w:rFonts w:hint="cs"/>
          <w:rtl/>
        </w:rPr>
        <w:t xml:space="preserve">של </w:t>
      </w:r>
      <w:r w:rsidRPr="00DA09E1">
        <w:rPr>
          <w:rFonts w:hint="cs"/>
          <w:rtl/>
        </w:rPr>
        <w:t>פסק הבוררות</w:t>
      </w:r>
      <w:r>
        <w:rPr>
          <w:rFonts w:hint="cs"/>
          <w:rtl/>
        </w:rPr>
        <w:t>:</w:t>
      </w:r>
    </w:p>
    <w:p w:rsidR="00CD5C20" w:rsidRDefault="006A180F" w:rsidP="006A180F">
      <w:pPr>
        <w:pStyle w:val="a"/>
        <w:rPr>
          <w:rtl/>
        </w:rPr>
      </w:pPr>
      <w:r>
        <w:rPr>
          <w:rFonts w:hint="cs"/>
          <w:rtl/>
        </w:rPr>
        <w:t xml:space="preserve">באשר להתחייבותה של מנורה להעביר לידי אריאל את הצמתים בירושלים נפסק כי אין בהתחייבות זו כבילה אסורה. נמצא כי בפועל תפסה אריאל את מקומה של מנורה באמצעות זכייה במכרז, ולא בשל הסדר אחר ביניהן. עם זאת נקבע כי בעת יצירתו של הסכם הבוררות התכוונו החברות שהעברת הצמתים בירושלים תיעשה בדרך של קבלנות משנה, והחוזה שהיה קיים אותה עת בין מנורה לעיריית ירושלים איפשר זאת. ועוד נמצא כי בשנת 1992, בעת כריתתו של הסכם הבוררות, לא ידעו כלל החברות על המכרז שעתידה עיריית ירושלים לפרסם בשנת 1994, הואיל והחוזה בין העירייה למנורה היה אמור להסתיים רק בשנת 1997. כן נקבע כי גירסתם של המשיבים, שלפיה התכוונו לבצע את העברת הצמתים בדרך של קבלנות משנה, אף נתמכת בלשונו של </w:t>
      </w:r>
    </w:p>
    <w:p w:rsidR="006A180F" w:rsidRDefault="00CD5C20" w:rsidP="00CD5C20">
      <w:pPr>
        <w:pStyle w:val="a"/>
        <w:ind w:firstLine="0"/>
        <w:rPr>
          <w:rFonts w:hint="cs"/>
          <w:rtl/>
        </w:rPr>
      </w:pPr>
      <w:r>
        <w:rPr>
          <w:rtl/>
        </w:rPr>
        <w:br w:type="page"/>
      </w:r>
      <w:r w:rsidR="006A180F">
        <w:rPr>
          <w:rFonts w:hint="cs"/>
          <w:rtl/>
        </w:rPr>
        <w:t>הסכם הבוררות, ומנגד אין ראיות המלמדות על תיאום מכרז ביניהן. על רקע כל אלה אמר בית משפט קמא:</w:t>
      </w:r>
    </w:p>
    <w:p w:rsidR="006A180F" w:rsidRDefault="006A180F" w:rsidP="00024721">
      <w:pPr>
        <w:pStyle w:val="a4"/>
        <w:rPr>
          <w:rFonts w:hint="cs"/>
          <w:rtl/>
        </w:rPr>
      </w:pPr>
      <w:r>
        <w:rPr>
          <w:rFonts w:hint="cs"/>
          <w:rtl/>
        </w:rPr>
        <w:t>"כאשר עסקינן בהעברת צמתים לאריאל על דרך של קבלנות משנה, משמעות הדבר היא שהמחיר לביצוע העבודות כבר נקבע קודם לכן, בהסכם שנקשר בין מנורה לעיר</w:t>
      </w:r>
      <w:r w:rsidR="00D1641E">
        <w:rPr>
          <w:rFonts w:hint="cs"/>
          <w:rtl/>
        </w:rPr>
        <w:t>י</w:t>
      </w:r>
      <w:r>
        <w:rPr>
          <w:rFonts w:hint="cs"/>
          <w:rtl/>
        </w:rPr>
        <w:t>יה. במסגרת ההעברה לא היה ביד אריאל להעמיד מול העיר</w:t>
      </w:r>
      <w:r w:rsidR="00D1641E">
        <w:rPr>
          <w:rFonts w:hint="cs"/>
          <w:rtl/>
        </w:rPr>
        <w:t>י</w:t>
      </w:r>
      <w:r>
        <w:rPr>
          <w:rFonts w:hint="cs"/>
          <w:rtl/>
        </w:rPr>
        <w:t>יה מחיר אחר, ולכן ההעברה היא נטולת השלכה על מחירי ההתקשרות. בהעברה כזו גם אין משום 'חלוקת שוק'" (</w:t>
      </w:r>
      <w:hyperlink r:id="rId99" w:history="1">
        <w:r w:rsidR="004C5B7C" w:rsidRPr="004C5B7C">
          <w:rPr>
            <w:rStyle w:val="Hyperlink"/>
            <w:rFonts w:cs="Miriam" w:hint="eastAsia"/>
            <w:szCs w:val="19"/>
            <w:rtl/>
          </w:rPr>
          <w:t>ת</w:t>
        </w:r>
        <w:r w:rsidR="004C5B7C" w:rsidRPr="004C5B7C">
          <w:rPr>
            <w:rStyle w:val="Hyperlink"/>
            <w:rFonts w:cs="Miriam"/>
            <w:szCs w:val="19"/>
            <w:rtl/>
          </w:rPr>
          <w:t>"פ (י-ם) 287/98</w:t>
        </w:r>
      </w:hyperlink>
      <w:r w:rsidR="00D1641E" w:rsidRPr="00D1641E">
        <w:rPr>
          <w:rFonts w:cs="Miriam" w:hint="cs"/>
          <w:szCs w:val="19"/>
          <w:rtl/>
        </w:rPr>
        <w:t xml:space="preserve"> הנ"ל [</w:t>
      </w:r>
      <w:r w:rsidR="00BA5973">
        <w:rPr>
          <w:rFonts w:cs="Miriam" w:hint="cs"/>
          <w:szCs w:val="19"/>
          <w:rtl/>
        </w:rPr>
        <w:t>25</w:t>
      </w:r>
      <w:r w:rsidR="00D1641E" w:rsidRPr="00D1641E">
        <w:rPr>
          <w:rFonts w:cs="Miriam" w:hint="cs"/>
          <w:szCs w:val="19"/>
          <w:rtl/>
        </w:rPr>
        <w:t>]</w:t>
      </w:r>
      <w:r w:rsidR="00D1641E">
        <w:rPr>
          <w:rFonts w:hint="cs"/>
          <w:rtl/>
        </w:rPr>
        <w:t xml:space="preserve">, </w:t>
      </w:r>
      <w:r w:rsidR="00D1641E" w:rsidRPr="00D1641E">
        <w:rPr>
          <w:rFonts w:cs="Miriam" w:hint="cs"/>
          <w:szCs w:val="19"/>
          <w:rtl/>
        </w:rPr>
        <w:t>בעמ' 279</w:t>
      </w:r>
      <w:r>
        <w:rPr>
          <w:rFonts w:hint="cs"/>
          <w:rtl/>
        </w:rPr>
        <w:t>).</w:t>
      </w:r>
    </w:p>
    <w:p w:rsidR="006A180F" w:rsidRDefault="006A180F" w:rsidP="006A180F">
      <w:pPr>
        <w:pStyle w:val="a"/>
        <w:rPr>
          <w:rFonts w:hint="cs"/>
          <w:rtl/>
        </w:rPr>
      </w:pPr>
      <w:r>
        <w:rPr>
          <w:rFonts w:hint="cs"/>
          <w:rtl/>
        </w:rPr>
        <w:t xml:space="preserve">באשר להתחייבותה של אריאל להימנע מהשתתפות במכרז חיפה מצא בית המשפט כי מנורה ואריאל ידעו היטב שעיריית חיפה אינה חפצה בתחרות, וכי אריאל אינה יכולה לזכות בתחרות שכזו. לפיכך הדרך היחידה שהייתה פתוחה בפני אריאל להכשיל את זכייתה של מנורה במכרז הייתה נקיטת הליכים משפטיים אשר יסכלו את תוצאת המכרז ויביאו לביטולו. נקבע כי על אף לשונו של סעיף 13 להסכם הבוררות שלפיו התחייבה אריאל שלא לחתום עם עיריית חיפה על הסכם, וחרף הערבות הכספית שניתנה לשם הבטחת התחייבות זו, הרי שאין בכל אלה כדי לשנות מהעובדה שלאריאל לא היה כל סיכוי לזכות במכרז. לאור זאת קיבל בית משפט קמא את עמדת המשיבים שלפיה בהתחייבותה של אריאל כלפי מנורה יש לראות כהתחייבות להימנע מנקיטתם של הליכים משפטיים שיובילו לביטולו של ההסכם, ותו לא. בית משפט קמא קבע כי בהתחייבות כאמור אין פסול באשר אין בה פגיעה ברציונל ההגנה על התחרות, מחד, והיא תואמת את רצון העירייה להעדיף את מנורה מנימוקים בטיחותיים, מאידך. על כן נקבע כי גם בהקשר זה לא התקיימו יסודותיה של העבירה לפי </w:t>
      </w:r>
      <w:hyperlink r:id="rId100" w:history="1">
        <w:r w:rsidR="0025156A" w:rsidRPr="0025156A">
          <w:rPr>
            <w:color w:val="0000FF"/>
            <w:u w:val="single"/>
            <w:rtl/>
          </w:rPr>
          <w:t>סעיף 2</w:t>
        </w:r>
      </w:hyperlink>
      <w:r>
        <w:rPr>
          <w:rFonts w:hint="cs"/>
          <w:rtl/>
        </w:rPr>
        <w:t xml:space="preserve"> ל</w:t>
      </w:r>
      <w:hyperlink r:id="rId101" w:history="1">
        <w:r w:rsidR="00A7624C" w:rsidRPr="00A7624C">
          <w:rPr>
            <w:rStyle w:val="Hyperlink"/>
            <w:rtl/>
          </w:rPr>
          <w:t>חוק ההגבלים העסקיים</w:t>
        </w:r>
      </w:hyperlink>
      <w:r>
        <w:rPr>
          <w:rFonts w:hint="cs"/>
          <w:rtl/>
        </w:rPr>
        <w:t xml:space="preserve">. </w:t>
      </w:r>
    </w:p>
    <w:p w:rsidR="006A180F" w:rsidRPr="00DA09E1" w:rsidRDefault="006A180F" w:rsidP="00024721">
      <w:pPr>
        <w:pStyle w:val="a"/>
        <w:rPr>
          <w:rFonts w:hint="cs"/>
          <w:rtl/>
        </w:rPr>
      </w:pPr>
      <w:r w:rsidRPr="006A180F">
        <w:rPr>
          <w:rFonts w:hint="cs"/>
          <w:rtl/>
        </w:rPr>
        <w:t>(ג)</w:t>
      </w:r>
      <w:r w:rsidRPr="00DA09E1">
        <w:rPr>
          <w:rFonts w:hint="cs"/>
          <w:rtl/>
        </w:rPr>
        <w:tab/>
        <w:t>מכתבו של הרשלום לאופיר</w:t>
      </w:r>
      <w:r>
        <w:rPr>
          <w:rFonts w:hint="cs"/>
          <w:rtl/>
        </w:rPr>
        <w:t>:</w:t>
      </w:r>
    </w:p>
    <w:p w:rsidR="006A180F" w:rsidRDefault="006A180F" w:rsidP="006A180F">
      <w:pPr>
        <w:pStyle w:val="a"/>
        <w:rPr>
          <w:rFonts w:hint="cs"/>
          <w:rtl/>
        </w:rPr>
      </w:pPr>
      <w:r>
        <w:rPr>
          <w:rFonts w:hint="cs"/>
          <w:rtl/>
        </w:rPr>
        <w:t>כזכור, מכתב זה נשלח בשנת 1996, והמערערת טענה כי הוא ראיה להסדר כובל שהושג בשנת 1992 ושנמשך עד לכתיבת המכתב. בית משפט קמא קבע כי לשון המכתב דנה במפורש בתיאום הצעות למכרזים, ועל כן לא ניתן לומר כי כוונת הדברים היא בהתחייבות להימנעות מנקיטתם של הליכים משפטיים. עם זאת נקבע כי התחייבותה של אריאל להימנע מהתקשרות עם עיריית חיפה, כפי שעולה מהמכתב, היא נעדרת השפעה של ממש על התחרות.</w:t>
      </w:r>
    </w:p>
    <w:p w:rsidR="006A180F" w:rsidRDefault="00CD5C20" w:rsidP="00024721">
      <w:pPr>
        <w:pStyle w:val="a"/>
        <w:rPr>
          <w:rFonts w:hint="cs"/>
          <w:rtl/>
        </w:rPr>
      </w:pPr>
      <w:r>
        <w:rPr>
          <w:rtl/>
        </w:rPr>
        <w:br w:type="page"/>
      </w:r>
      <w:r w:rsidR="006A180F">
        <w:rPr>
          <w:rFonts w:hint="cs"/>
          <w:rtl/>
        </w:rPr>
        <w:t xml:space="preserve">על יסוד הטעמים שפורטו לעיל מצא בית המשפט המחוזי כי מעשיהם של המשיבים אינם נכנסים לגדרו של </w:t>
      </w:r>
      <w:hyperlink r:id="rId102" w:history="1">
        <w:r w:rsidR="0025156A" w:rsidRPr="0025156A">
          <w:rPr>
            <w:color w:val="0000FF"/>
            <w:u w:val="single"/>
            <w:rtl/>
          </w:rPr>
          <w:t>סעיף 2(א)</w:t>
        </w:r>
      </w:hyperlink>
      <w:r w:rsidR="006A180F">
        <w:rPr>
          <w:rFonts w:hint="cs"/>
          <w:rtl/>
        </w:rPr>
        <w:t xml:space="preserve"> ל</w:t>
      </w:r>
      <w:hyperlink r:id="rId103" w:history="1">
        <w:r w:rsidR="00A7624C" w:rsidRPr="00A7624C">
          <w:rPr>
            <w:rStyle w:val="Hyperlink"/>
            <w:rtl/>
          </w:rPr>
          <w:t>חוק ההגבלים העסקיים</w:t>
        </w:r>
      </w:hyperlink>
      <w:r w:rsidR="006A180F">
        <w:rPr>
          <w:rFonts w:hint="cs"/>
          <w:rtl/>
        </w:rPr>
        <w:t xml:space="preserve">, שכן אין בהם משום השפעה על התחרות. עם זאת קבע בית המשפט המחוזי כי יש לראות בהסכם שבין המשיבים הסכם של "חלוקת שוק", לפי </w:t>
      </w:r>
      <w:hyperlink r:id="rId104" w:history="1">
        <w:r w:rsidR="0025156A" w:rsidRPr="0025156A">
          <w:rPr>
            <w:color w:val="0000FF"/>
            <w:u w:val="single"/>
            <w:rtl/>
          </w:rPr>
          <w:t>סעיף 2(ב)(3)</w:t>
        </w:r>
      </w:hyperlink>
      <w:r w:rsidR="006A180F">
        <w:rPr>
          <w:rFonts w:hint="cs"/>
          <w:rtl/>
        </w:rPr>
        <w:t xml:space="preserve"> לחוק. בהקשר זה נאמר כי מלשונו של הסכם הבוררות עולה שההתחייבות שנטלה אריאל על עצמה "</w:t>
      </w:r>
      <w:r w:rsidR="00D1641E">
        <w:rPr>
          <w:rFonts w:hint="cs"/>
          <w:rtl/>
        </w:rPr>
        <w:t>...</w:t>
      </w:r>
      <w:r w:rsidR="006A180F">
        <w:rPr>
          <w:rFonts w:hint="cs"/>
          <w:rtl/>
        </w:rPr>
        <w:t>עוסקת היא בעצם ההתקשרות עם עיר</w:t>
      </w:r>
      <w:r w:rsidR="00D1641E">
        <w:rPr>
          <w:rFonts w:hint="cs"/>
          <w:rtl/>
        </w:rPr>
        <w:t>י</w:t>
      </w:r>
      <w:r w:rsidR="006A180F">
        <w:rPr>
          <w:rFonts w:hint="cs"/>
          <w:rtl/>
        </w:rPr>
        <w:t>ית חיפה, ולא בנקיטת אמצעים משפטיים דווקא"</w:t>
      </w:r>
      <w:r w:rsidR="00D1641E">
        <w:rPr>
          <w:rFonts w:hint="cs"/>
          <w:rtl/>
        </w:rPr>
        <w:t xml:space="preserve"> (</w:t>
      </w:r>
      <w:r w:rsidR="00D1641E" w:rsidRPr="00D1641E">
        <w:rPr>
          <w:rFonts w:cs="Miriam" w:hint="cs"/>
          <w:szCs w:val="19"/>
          <w:rtl/>
        </w:rPr>
        <w:t>שם</w:t>
      </w:r>
      <w:r w:rsidR="00D1641E">
        <w:rPr>
          <w:rFonts w:hint="cs"/>
          <w:rtl/>
        </w:rPr>
        <w:t xml:space="preserve">, </w:t>
      </w:r>
      <w:r w:rsidR="00D1641E" w:rsidRPr="00D1641E">
        <w:rPr>
          <w:rFonts w:cs="Miriam" w:hint="cs"/>
          <w:szCs w:val="19"/>
          <w:rtl/>
        </w:rPr>
        <w:t>בעמ'</w:t>
      </w:r>
      <w:r w:rsidR="00024721">
        <w:rPr>
          <w:rFonts w:cs="Miriam" w:hint="eastAsia"/>
          <w:szCs w:val="19"/>
          <w:rtl/>
        </w:rPr>
        <w:t> </w:t>
      </w:r>
      <w:r w:rsidR="00D1641E" w:rsidRPr="00D1641E">
        <w:rPr>
          <w:rFonts w:cs="Miriam" w:hint="cs"/>
          <w:szCs w:val="19"/>
          <w:rtl/>
        </w:rPr>
        <w:t>287</w:t>
      </w:r>
      <w:r w:rsidR="00D1641E">
        <w:rPr>
          <w:rFonts w:hint="cs"/>
          <w:rtl/>
        </w:rPr>
        <w:t>)</w:t>
      </w:r>
      <w:r w:rsidR="006A180F">
        <w:rPr>
          <w:rFonts w:hint="cs"/>
          <w:rtl/>
        </w:rPr>
        <w:t xml:space="preserve">, וכן "לאור לשון ברורה זו, מתבקשת המסקנה שהצדדים התייחסו בו גם למטרה </w:t>
      </w:r>
      <w:r w:rsidR="006A180F" w:rsidRPr="00D1641E">
        <w:rPr>
          <w:rFonts w:cs="Miriam" w:hint="cs"/>
          <w:szCs w:val="19"/>
          <w:rtl/>
        </w:rPr>
        <w:t>הסופית</w:t>
      </w:r>
      <w:r w:rsidR="006A180F" w:rsidRPr="00D1641E">
        <w:rPr>
          <w:rFonts w:hint="cs"/>
          <w:rtl/>
        </w:rPr>
        <w:t xml:space="preserve"> </w:t>
      </w:r>
      <w:r w:rsidR="006A180F">
        <w:rPr>
          <w:rFonts w:hint="cs"/>
          <w:rtl/>
        </w:rPr>
        <w:t>של ההסכם ביניהם, והיא מניעת התקשרות בין עיר</w:t>
      </w:r>
      <w:r w:rsidR="00D1641E">
        <w:rPr>
          <w:rFonts w:hint="cs"/>
          <w:rtl/>
        </w:rPr>
        <w:t>י</w:t>
      </w:r>
      <w:r w:rsidR="006A180F">
        <w:rPr>
          <w:rFonts w:hint="cs"/>
          <w:rtl/>
        </w:rPr>
        <w:t>ית חיפה ואריאל בעתיד, זאת גם אם לא היה צורך בהתחייבות כזו לעניין מכרז חיפה או למכרז שהיה בא במקומו" (</w:t>
      </w:r>
      <w:r w:rsidR="00D1641E">
        <w:rPr>
          <w:rFonts w:cs="Miriam" w:hint="cs"/>
          <w:szCs w:val="19"/>
          <w:rtl/>
        </w:rPr>
        <w:t>שם</w:t>
      </w:r>
      <w:r w:rsidR="00D1641E">
        <w:rPr>
          <w:rFonts w:hint="cs"/>
          <w:rtl/>
        </w:rPr>
        <w:t xml:space="preserve">, </w:t>
      </w:r>
      <w:r w:rsidR="00D1641E">
        <w:rPr>
          <w:rFonts w:cs="Miriam" w:hint="cs"/>
          <w:szCs w:val="19"/>
          <w:rtl/>
        </w:rPr>
        <w:t>שם</w:t>
      </w:r>
      <w:r w:rsidR="006A180F">
        <w:rPr>
          <w:rFonts w:hint="cs"/>
          <w:rtl/>
        </w:rPr>
        <w:t xml:space="preserve">). במאמר מוסגר אודה כי התקשיתי להבין כיצד ניתן ליישב קביעות נחרצות אלה של בית משפט קמא עם ממצאיו האחרים, שהובאו לעיל, ולפיהם התחייבותה של אריאל הייתה התחייבות שלא לנקוט הליכים משפטיים בלבד. מכל מקום, על בסיס ממצא אחרון זה הוסיף בית משפט קמא כי </w:t>
      </w:r>
      <w:hyperlink r:id="rId105" w:history="1">
        <w:r w:rsidR="0025156A" w:rsidRPr="0025156A">
          <w:rPr>
            <w:color w:val="0000FF"/>
            <w:u w:val="single"/>
            <w:rtl/>
          </w:rPr>
          <w:t>סעיף 2(ב)(3)</w:t>
        </w:r>
      </w:hyperlink>
      <w:r w:rsidR="006A180F">
        <w:rPr>
          <w:rFonts w:hint="cs"/>
          <w:rtl/>
        </w:rPr>
        <w:t xml:space="preserve"> לחוק קובע חזקה חלוטה בדבר פגיעה בתחרות, וחזקה זו כוחה יפה גם להסדר הנובע מהסכם הבוררות.</w:t>
      </w:r>
    </w:p>
    <w:p w:rsidR="006A180F" w:rsidRDefault="006A180F" w:rsidP="00D1641E">
      <w:pPr>
        <w:pStyle w:val="a"/>
        <w:rPr>
          <w:rFonts w:hint="cs"/>
          <w:rtl/>
        </w:rPr>
      </w:pPr>
      <w:r>
        <w:rPr>
          <w:rFonts w:hint="cs"/>
          <w:rtl/>
        </w:rPr>
        <w:t>7.</w:t>
      </w:r>
      <w:r>
        <w:rPr>
          <w:rFonts w:hint="cs"/>
          <w:rtl/>
        </w:rPr>
        <w:tab/>
        <w:t xml:space="preserve">חרף מסקנה זו החליט בית משפט קמא כי יש לראות במעשיהם של המשיבים "זוטי דברים", ועל כן עומד להם הפטור מהרשעה, הקבוע </w:t>
      </w:r>
      <w:hyperlink r:id="rId106" w:history="1">
        <w:r w:rsidR="0025156A" w:rsidRPr="0025156A">
          <w:rPr>
            <w:color w:val="0000FF"/>
            <w:u w:val="single"/>
            <w:rtl/>
          </w:rPr>
          <w:t>בסעיף 34יז</w:t>
        </w:r>
      </w:hyperlink>
      <w:r>
        <w:rPr>
          <w:rFonts w:hint="cs"/>
          <w:rtl/>
        </w:rPr>
        <w:t xml:space="preserve"> לחוק העונשין, ובלשון המקור:</w:t>
      </w:r>
    </w:p>
    <w:p w:rsidR="006A180F" w:rsidRDefault="006A180F" w:rsidP="00024721">
      <w:pPr>
        <w:pStyle w:val="a4"/>
        <w:rPr>
          <w:rFonts w:hint="cs"/>
          <w:rtl/>
        </w:rPr>
      </w:pPr>
      <w:r>
        <w:rPr>
          <w:rFonts w:hint="cs"/>
          <w:rtl/>
        </w:rPr>
        <w:t>"הנסיבות הרלוונטיות ליכולתה של אריאל להתחרות בחיפה עוקרות את החומרה מההסכם הנדון. ההסכם בין הצדדים</w:t>
      </w:r>
      <w:r w:rsidR="00D1641E">
        <w:rPr>
          <w:rFonts w:hint="cs"/>
          <w:rtl/>
        </w:rPr>
        <w:t>,</w:t>
      </w:r>
      <w:r>
        <w:rPr>
          <w:rFonts w:hint="cs"/>
          <w:rtl/>
        </w:rPr>
        <w:t xml:space="preserve"> כטענת </w:t>
      </w:r>
      <w:r w:rsidR="00D1641E">
        <w:rPr>
          <w:rFonts w:hint="cs"/>
          <w:rtl/>
        </w:rPr>
        <w:t>ה</w:t>
      </w:r>
      <w:r>
        <w:rPr>
          <w:rFonts w:hint="cs"/>
          <w:rtl/>
        </w:rPr>
        <w:t>נאשמים 5 ו</w:t>
      </w:r>
      <w:r w:rsidRPr="00024721">
        <w:rPr>
          <w:rFonts w:hint="cs"/>
          <w:position w:val="4"/>
          <w:rtl/>
        </w:rPr>
        <w:t>-</w:t>
      </w:r>
      <w:r>
        <w:rPr>
          <w:rFonts w:hint="cs"/>
          <w:rtl/>
        </w:rPr>
        <w:t xml:space="preserve">6 [אריאל והרשלום </w:t>
      </w:r>
      <w:r w:rsidR="00D1641E">
        <w:rPr>
          <w:rFonts w:hint="eastAsia"/>
          <w:rtl/>
        </w:rPr>
        <w:t>–</w:t>
      </w:r>
      <w:r>
        <w:rPr>
          <w:rFonts w:hint="cs"/>
          <w:rtl/>
        </w:rPr>
        <w:t xml:space="preserve"> א' א' ל</w:t>
      </w:r>
      <w:r w:rsidR="00024721">
        <w:rPr>
          <w:rFonts w:hint="cs"/>
          <w:rtl/>
        </w:rPr>
        <w:t>'</w:t>
      </w:r>
      <w:r>
        <w:rPr>
          <w:rFonts w:hint="cs"/>
          <w:rtl/>
        </w:rPr>
        <w:t xml:space="preserve">], לא יצר את המגבלה הפוגעת בתחרות, אלא אך ורק תיאר מצב קיים. </w:t>
      </w:r>
      <w:r w:rsidR="00972135">
        <w:rPr>
          <w:rFonts w:hint="cs"/>
          <w:rtl/>
        </w:rPr>
        <w:t>לא ניתן לאריאל, למעשה, להיכנס לשוק הרלוונטי ואף לא ניתן לומר שמאמצים משפטיים נוספים שלה היו מאפשרים זאת</w:t>
      </w:r>
      <w:r>
        <w:rPr>
          <w:rFonts w:hint="cs"/>
          <w:rtl/>
        </w:rPr>
        <w:t xml:space="preserve">. לכן, גם אם המחוקק קובע, משיקולים של הבטחת לכידת עבירות הפוגעות בערך המוגן (התחרות), כי מקרה מעין זה 'יראו כהסדר כובל' (כלשון </w:t>
      </w:r>
      <w:hyperlink r:id="rId107" w:history="1">
        <w:r w:rsidR="0025156A" w:rsidRPr="0025156A">
          <w:rPr>
            <w:rStyle w:val="Hyperlink"/>
            <w:rFonts w:hint="eastAsia"/>
            <w:rtl/>
          </w:rPr>
          <w:t>סעיף</w:t>
        </w:r>
        <w:r w:rsidR="0025156A" w:rsidRPr="0025156A">
          <w:rPr>
            <w:rStyle w:val="Hyperlink"/>
            <w:rtl/>
          </w:rPr>
          <w:t xml:space="preserve"> 2 (ב)</w:t>
        </w:r>
      </w:hyperlink>
      <w:r w:rsidR="00972135">
        <w:rPr>
          <w:rFonts w:hint="cs"/>
          <w:rtl/>
        </w:rPr>
        <w:t xml:space="preserve"> ל</w:t>
      </w:r>
      <w:hyperlink r:id="rId108" w:history="1">
        <w:r w:rsidR="00A7624C" w:rsidRPr="00A7624C">
          <w:rPr>
            <w:rStyle w:val="Hyperlink"/>
            <w:rtl/>
          </w:rPr>
          <w:t>חוק ההגבלים העסקיים</w:t>
        </w:r>
      </w:hyperlink>
      <w:r>
        <w:rPr>
          <w:rFonts w:hint="cs"/>
          <w:rtl/>
        </w:rPr>
        <w:t xml:space="preserve">), אין בכך כדי למנוע הכרה בהגנה הפלילית כאשר מתחוור שמהיבט מניעת הפגיעה בערך האמור לא נחוצה למעשה הטבעת 'אות קין' של הרשעה. מניעת הגנה כזו </w:t>
      </w:r>
      <w:r w:rsidR="00972135">
        <w:rPr>
          <w:rFonts w:hint="eastAsia"/>
          <w:rtl/>
        </w:rPr>
        <w:t>–</w:t>
      </w:r>
      <w:r>
        <w:rPr>
          <w:rFonts w:hint="cs"/>
          <w:rtl/>
        </w:rPr>
        <w:t xml:space="preserve"> במקרים בהם החזקה החלוטה אינה הולמת את המציאות </w:t>
      </w:r>
      <w:r w:rsidR="00972135">
        <w:rPr>
          <w:rFonts w:hint="eastAsia"/>
          <w:rtl/>
        </w:rPr>
        <w:t>–</w:t>
      </w:r>
      <w:r>
        <w:rPr>
          <w:rFonts w:hint="cs"/>
          <w:rtl/>
        </w:rPr>
        <w:t xml:space="preserve"> יש בה כדי לפגוע שלא לצורך במי שמעשיהם אינם עוברים את סף 'האנטי חברתיות' המינימלי, ובכך היא פוגעת בכלל המידתיות העולה </w:t>
      </w:r>
      <w:r w:rsidR="00972135">
        <w:rPr>
          <w:rFonts w:hint="cs"/>
          <w:rtl/>
        </w:rPr>
        <w:t>מ</w:t>
      </w:r>
      <w:hyperlink r:id="rId109" w:history="1">
        <w:r w:rsidR="00A7624C" w:rsidRPr="00A7624C">
          <w:rPr>
            <w:rStyle w:val="Hyperlink"/>
            <w:rtl/>
          </w:rPr>
          <w:t>חוק-יסוד: כבוד האדם וחירותו</w:t>
        </w:r>
      </w:hyperlink>
      <w:r>
        <w:rPr>
          <w:rFonts w:hint="cs"/>
          <w:rtl/>
        </w:rPr>
        <w:t>" (</w:t>
      </w:r>
      <w:r w:rsidR="00972135">
        <w:rPr>
          <w:rFonts w:cs="Miriam" w:hint="cs"/>
          <w:szCs w:val="19"/>
          <w:rtl/>
        </w:rPr>
        <w:t>שם [</w:t>
      </w:r>
      <w:r w:rsidR="00BA5973">
        <w:rPr>
          <w:rFonts w:cs="Miriam" w:hint="cs"/>
          <w:szCs w:val="19"/>
          <w:rtl/>
        </w:rPr>
        <w:t>25</w:t>
      </w:r>
      <w:r w:rsidR="00972135">
        <w:rPr>
          <w:rFonts w:cs="Miriam" w:hint="cs"/>
          <w:szCs w:val="19"/>
          <w:rtl/>
        </w:rPr>
        <w:t>]</w:t>
      </w:r>
      <w:r w:rsidR="00972135">
        <w:rPr>
          <w:rFonts w:hint="cs"/>
          <w:rtl/>
        </w:rPr>
        <w:t xml:space="preserve">, </w:t>
      </w:r>
      <w:r w:rsidR="00972135">
        <w:rPr>
          <w:rFonts w:cs="Miriam" w:hint="cs"/>
          <w:szCs w:val="19"/>
          <w:rtl/>
        </w:rPr>
        <w:t>בעמ' 292-291</w:t>
      </w:r>
      <w:r>
        <w:rPr>
          <w:rFonts w:hint="cs"/>
          <w:rtl/>
        </w:rPr>
        <w:t>).</w:t>
      </w:r>
    </w:p>
    <w:p w:rsidR="006A180F" w:rsidRPr="00972135" w:rsidRDefault="00CD5C20" w:rsidP="00024721">
      <w:pPr>
        <w:pStyle w:val="a"/>
        <w:rPr>
          <w:rFonts w:cs="Miriam" w:hint="cs"/>
          <w:szCs w:val="19"/>
          <w:rtl/>
        </w:rPr>
      </w:pPr>
      <w:r>
        <w:rPr>
          <w:rFonts w:cs="Miriam"/>
          <w:szCs w:val="19"/>
          <w:rtl/>
        </w:rPr>
        <w:br w:type="page"/>
      </w:r>
      <w:r w:rsidR="006A180F" w:rsidRPr="00972135">
        <w:rPr>
          <w:rFonts w:cs="Miriam" w:hint="cs"/>
          <w:szCs w:val="19"/>
          <w:rtl/>
        </w:rPr>
        <w:t>זיכויו של אופיר</w:t>
      </w:r>
    </w:p>
    <w:p w:rsidR="006A180F" w:rsidRDefault="006A180F" w:rsidP="00024721">
      <w:pPr>
        <w:pStyle w:val="a"/>
        <w:rPr>
          <w:rFonts w:hint="cs"/>
          <w:rtl/>
        </w:rPr>
      </w:pPr>
      <w:r>
        <w:rPr>
          <w:rFonts w:hint="cs"/>
          <w:rtl/>
        </w:rPr>
        <w:t>8.</w:t>
      </w:r>
      <w:r>
        <w:rPr>
          <w:rFonts w:hint="cs"/>
          <w:rtl/>
        </w:rPr>
        <w:tab/>
        <w:t>לאור זיכוים של אריאל ושל הרשלום זיכה בית המשפט גם את אופיר מהעבירה של סיוע ליצירתו של הסדר כובל. בית המשפט הדגיש כי חלקו של אופיר בעבירה היה שולי: "</w:t>
      </w:r>
      <w:r w:rsidR="00972135">
        <w:rPr>
          <w:rFonts w:hint="cs"/>
          <w:rtl/>
        </w:rPr>
        <w:t>...</w:t>
      </w:r>
      <w:r>
        <w:rPr>
          <w:rFonts w:hint="cs"/>
          <w:rtl/>
        </w:rPr>
        <w:t>הוא לא הגה את רעיון ההסדר, וגם לא קבע את תוכן שטר הבוררי</w:t>
      </w:r>
      <w:r w:rsidR="00972135">
        <w:rPr>
          <w:rFonts w:hint="cs"/>
          <w:rtl/>
        </w:rPr>
        <w:t>ן</w:t>
      </w:r>
      <w:r>
        <w:rPr>
          <w:rFonts w:hint="cs"/>
          <w:rtl/>
        </w:rPr>
        <w:t>. הוא ראה את תפקידו כפוסק רכיבי הפיצוי במגמה לסיים את הסכסוך העסקי שבין הצדדים לשטר הבוררות. לא היה לו עניין אישי כלשהו בקיום ההסכם, ואף לא בעצם קיום הבוררות. כאמור, הוא אף לא קיבל שכר בשל סיועו" (</w:t>
      </w:r>
      <w:r w:rsidR="00972135">
        <w:rPr>
          <w:rFonts w:cs="Miriam" w:hint="cs"/>
          <w:szCs w:val="19"/>
          <w:rtl/>
        </w:rPr>
        <w:t>שם</w:t>
      </w:r>
      <w:r w:rsidR="00972135">
        <w:rPr>
          <w:rFonts w:hint="cs"/>
          <w:rtl/>
        </w:rPr>
        <w:t xml:space="preserve">, </w:t>
      </w:r>
      <w:r w:rsidR="00972135">
        <w:rPr>
          <w:rFonts w:cs="Miriam" w:hint="cs"/>
          <w:szCs w:val="19"/>
          <w:rtl/>
        </w:rPr>
        <w:t>בעמ' 296</w:t>
      </w:r>
      <w:r>
        <w:rPr>
          <w:rFonts w:hint="cs"/>
          <w:rtl/>
        </w:rPr>
        <w:t xml:space="preserve">). עוד נקבע כי מכוח מעמדו כבורר יש לראות באופיר כמי שהוא חלק מהרשות השופטת, ולפיכך הוא חוסה בצלו של </w:t>
      </w:r>
      <w:hyperlink r:id="rId110" w:history="1">
        <w:r w:rsidR="0025156A" w:rsidRPr="0025156A">
          <w:rPr>
            <w:rStyle w:val="Hyperlink"/>
            <w:rFonts w:hint="eastAsia"/>
            <w:rtl/>
          </w:rPr>
          <w:t>סעיף</w:t>
        </w:r>
        <w:r w:rsidR="0025156A" w:rsidRPr="0025156A">
          <w:rPr>
            <w:rStyle w:val="Hyperlink"/>
            <w:rtl/>
          </w:rPr>
          <w:t xml:space="preserve"> 34כ</w:t>
        </w:r>
      </w:hyperlink>
      <w:r>
        <w:rPr>
          <w:rFonts w:hint="cs"/>
          <w:rtl/>
        </w:rPr>
        <w:t xml:space="preserve"> לחוק העונשין, המעניק לו חסינות מפני העמדה לדין אף שהוא אינו עובד מדינה.</w:t>
      </w:r>
    </w:p>
    <w:p w:rsidR="006A180F" w:rsidRDefault="006A180F" w:rsidP="001768AD">
      <w:pPr>
        <w:pStyle w:val="a"/>
        <w:rPr>
          <w:rFonts w:hint="cs"/>
          <w:rtl/>
        </w:rPr>
      </w:pPr>
      <w:r w:rsidRPr="001768AD">
        <w:rPr>
          <w:rFonts w:cs="Miriam" w:hint="cs"/>
          <w:szCs w:val="19"/>
          <w:rtl/>
        </w:rPr>
        <w:t>טענותיה של המערערת</w:t>
      </w:r>
      <w:r w:rsidR="008514F4">
        <w:rPr>
          <w:rFonts w:cs="Miriam" w:hint="cs"/>
          <w:szCs w:val="19"/>
          <w:rtl/>
        </w:rPr>
        <w:t xml:space="preserve"> </w:t>
      </w:r>
    </w:p>
    <w:p w:rsidR="006A180F" w:rsidRDefault="006A180F" w:rsidP="006A180F">
      <w:pPr>
        <w:pStyle w:val="a"/>
        <w:rPr>
          <w:rFonts w:hint="cs"/>
          <w:rtl/>
        </w:rPr>
      </w:pPr>
      <w:r>
        <w:rPr>
          <w:rFonts w:hint="cs"/>
          <w:rtl/>
        </w:rPr>
        <w:t>9.</w:t>
      </w:r>
      <w:r>
        <w:rPr>
          <w:rFonts w:hint="cs"/>
          <w:rtl/>
        </w:rPr>
        <w:tab/>
        <w:t xml:space="preserve">המערערת מלינה על זיכוים של המשיבים וממקדת את הודעת הערעור באלה: היקף תחולתה של העבירה בדבר תיאום מכרז, היקף תחולתו של סייג זוטי דברים הקבוע </w:t>
      </w:r>
      <w:hyperlink r:id="rId111" w:history="1">
        <w:r w:rsidR="0025156A" w:rsidRPr="0025156A">
          <w:rPr>
            <w:rStyle w:val="Hyperlink"/>
            <w:rFonts w:hint="eastAsia"/>
            <w:rtl/>
          </w:rPr>
          <w:t>בסעיף</w:t>
        </w:r>
        <w:r w:rsidR="0025156A" w:rsidRPr="0025156A">
          <w:rPr>
            <w:rStyle w:val="Hyperlink"/>
            <w:rtl/>
          </w:rPr>
          <w:t xml:space="preserve"> 34יז</w:t>
        </w:r>
      </w:hyperlink>
      <w:r>
        <w:rPr>
          <w:rFonts w:hint="cs"/>
          <w:rtl/>
        </w:rPr>
        <w:t xml:space="preserve"> לחוק העונשין והיקף תחולתה של ההגנה על הרשות השופטת הקבועה </w:t>
      </w:r>
      <w:hyperlink r:id="rId112" w:history="1">
        <w:r w:rsidR="0025156A" w:rsidRPr="0025156A">
          <w:rPr>
            <w:rStyle w:val="Hyperlink"/>
            <w:rFonts w:hint="eastAsia"/>
            <w:rtl/>
          </w:rPr>
          <w:t>בסעיף</w:t>
        </w:r>
        <w:r w:rsidR="0025156A" w:rsidRPr="0025156A">
          <w:rPr>
            <w:rStyle w:val="Hyperlink"/>
            <w:rtl/>
          </w:rPr>
          <w:t xml:space="preserve"> 34כ</w:t>
        </w:r>
      </w:hyperlink>
      <w:r>
        <w:rPr>
          <w:rFonts w:hint="cs"/>
          <w:rtl/>
        </w:rPr>
        <w:t xml:space="preserve"> לחוק העונשין. </w:t>
      </w:r>
    </w:p>
    <w:p w:rsidR="006A180F" w:rsidRDefault="006A180F" w:rsidP="006A180F">
      <w:pPr>
        <w:pStyle w:val="a"/>
        <w:rPr>
          <w:rFonts w:hint="cs"/>
          <w:rtl/>
        </w:rPr>
      </w:pPr>
      <w:r>
        <w:rPr>
          <w:rFonts w:hint="cs"/>
          <w:rtl/>
        </w:rPr>
        <w:t>באשר לעבירה בדבר תיאום מכרז טוענת המערערת כי גם התחייבות להימנע מנקיטתם של הליכים משפטיים שיביאו לסיכולו של מכרז, כפי שבית משפט קמא מצא כי התרחש בענייננו, היא תיאום אסור של מכרז באשר התחייבותה של אריאל הבטיחה כי זכייתה של מנורה תישאר על כנה ולא תעמוד בסיכון. ועוד נטען כי בית משפט קמא לא ייחס חשיבות למכתבו של הרשלום לאופיר משנת 1996, אף שמכתב זה מעיד על טיבם המפליל של ההסכמים בין שתי החברות.</w:t>
      </w:r>
    </w:p>
    <w:p w:rsidR="006A180F" w:rsidRDefault="006A180F" w:rsidP="006A180F">
      <w:pPr>
        <w:pStyle w:val="a"/>
        <w:rPr>
          <w:rFonts w:hint="cs"/>
          <w:rtl/>
        </w:rPr>
      </w:pPr>
      <w:r>
        <w:rPr>
          <w:rFonts w:hint="cs"/>
          <w:rtl/>
        </w:rPr>
        <w:t xml:space="preserve">באשר לסייג בדבר זוטי דברים עמדתה של המערערת היא כי ראוי שתחולתו של סייג זה תצטמצם למקרים חריגים ויוצאי דופן, שבהם אין למעשה הפלילי השלכה על הציבור. לא כך הדבר </w:t>
      </w:r>
      <w:r>
        <w:rPr>
          <w:rFonts w:hint="eastAsia"/>
          <w:rtl/>
        </w:rPr>
        <w:t>–</w:t>
      </w:r>
      <w:r>
        <w:rPr>
          <w:rFonts w:hint="cs"/>
          <w:rtl/>
        </w:rPr>
        <w:t xml:space="preserve"> לגישתה </w:t>
      </w:r>
      <w:r>
        <w:rPr>
          <w:rFonts w:hint="eastAsia"/>
          <w:rtl/>
        </w:rPr>
        <w:t>–</w:t>
      </w:r>
      <w:r>
        <w:rPr>
          <w:rFonts w:hint="cs"/>
          <w:rtl/>
        </w:rPr>
        <w:t xml:space="preserve"> כשמדובר בעבירות כלכליות שנודעת להן השפעה על כספו של הציבור, כמו המקרה שבפנינו.</w:t>
      </w:r>
      <w:r w:rsidR="008514F4">
        <w:rPr>
          <w:rFonts w:hint="cs"/>
          <w:rtl/>
        </w:rPr>
        <w:t xml:space="preserve"> </w:t>
      </w:r>
    </w:p>
    <w:p w:rsidR="00CD5C20" w:rsidRDefault="006A180F" w:rsidP="006A180F">
      <w:pPr>
        <w:pStyle w:val="a"/>
        <w:rPr>
          <w:rtl/>
        </w:rPr>
      </w:pPr>
      <w:r>
        <w:rPr>
          <w:rFonts w:hint="cs"/>
          <w:rtl/>
        </w:rPr>
        <w:t xml:space="preserve">ועוד: לגישת המערערת, יצר המחוקק </w:t>
      </w:r>
      <w:hyperlink r:id="rId113" w:history="1">
        <w:r w:rsidR="0025156A" w:rsidRPr="0025156A">
          <w:rPr>
            <w:rStyle w:val="Hyperlink"/>
            <w:rFonts w:hint="eastAsia"/>
            <w:rtl/>
          </w:rPr>
          <w:t>בסעיף</w:t>
        </w:r>
        <w:r w:rsidR="0025156A" w:rsidRPr="0025156A">
          <w:rPr>
            <w:rStyle w:val="Hyperlink"/>
            <w:rtl/>
          </w:rPr>
          <w:t xml:space="preserve"> 2</w:t>
        </w:r>
      </w:hyperlink>
      <w:r>
        <w:rPr>
          <w:rFonts w:hint="cs"/>
          <w:rtl/>
        </w:rPr>
        <w:t xml:space="preserve"> ל</w:t>
      </w:r>
      <w:hyperlink r:id="rId114" w:history="1">
        <w:r w:rsidR="00A7624C" w:rsidRPr="00A7624C">
          <w:rPr>
            <w:rStyle w:val="Hyperlink"/>
            <w:rtl/>
          </w:rPr>
          <w:t>חוק ההגבלים העסקיים</w:t>
        </w:r>
      </w:hyperlink>
      <w:r>
        <w:rPr>
          <w:rFonts w:hint="cs"/>
          <w:rtl/>
        </w:rPr>
        <w:t xml:space="preserve"> הבחנה בין סוגים שונים של הסדרים כובלים, בעלי דרגות חומרה שונות. </w:t>
      </w:r>
      <w:hyperlink r:id="rId115" w:history="1">
        <w:r w:rsidR="0025156A" w:rsidRPr="0025156A">
          <w:rPr>
            <w:color w:val="0000FF"/>
            <w:u w:val="single"/>
            <w:rtl/>
          </w:rPr>
          <w:t>בסעיף 2(ב)</w:t>
        </w:r>
      </w:hyperlink>
      <w:r>
        <w:rPr>
          <w:rFonts w:hint="cs"/>
          <w:rtl/>
        </w:rPr>
        <w:t xml:space="preserve"> כלל המחוקק את ההסדרים שלהם נודעת החומרה הרבה ביותר, ובעניינם לא נדרשה התביעה להוכיח פוטנציאל של פגיעה בתחרות. נטען כי הסדרים כובלים שעניינם תיאום מכרז וחלוקת </w:t>
      </w:r>
    </w:p>
    <w:p w:rsidR="006A180F" w:rsidRDefault="00CD5C20" w:rsidP="00CD5C20">
      <w:pPr>
        <w:pStyle w:val="a"/>
        <w:ind w:firstLine="0"/>
        <w:rPr>
          <w:rFonts w:hint="cs"/>
          <w:rtl/>
        </w:rPr>
      </w:pPr>
      <w:r>
        <w:rPr>
          <w:rtl/>
        </w:rPr>
        <w:br w:type="page"/>
      </w:r>
      <w:r w:rsidR="006A180F">
        <w:rPr>
          <w:rFonts w:hint="cs"/>
          <w:rtl/>
        </w:rPr>
        <w:t xml:space="preserve">שוק נכללים בגדרו של </w:t>
      </w:r>
      <w:hyperlink r:id="rId116" w:history="1">
        <w:r w:rsidR="0025156A" w:rsidRPr="0025156A">
          <w:rPr>
            <w:color w:val="0000FF"/>
            <w:u w:val="single"/>
            <w:rtl/>
          </w:rPr>
          <w:t>סעיף 2(ב)</w:t>
        </w:r>
      </w:hyperlink>
      <w:r w:rsidR="006A180F">
        <w:rPr>
          <w:rFonts w:hint="cs"/>
          <w:rtl/>
        </w:rPr>
        <w:t>, ועל כן נתפסים כהסדרים בעלי חומרה מיוחדת. משכך, אין להחיל לגירסת המשיבה בעניינם של הסדרים כאלה את הסייג בדבר זוטי דברים.</w:t>
      </w:r>
    </w:p>
    <w:p w:rsidR="006A180F" w:rsidRDefault="006A180F" w:rsidP="006A180F">
      <w:pPr>
        <w:pStyle w:val="a"/>
        <w:rPr>
          <w:rFonts w:hint="cs"/>
          <w:rtl/>
        </w:rPr>
      </w:pPr>
      <w:r>
        <w:rPr>
          <w:rFonts w:hint="cs"/>
          <w:rtl/>
        </w:rPr>
        <w:t xml:space="preserve">המערערת סבורה עוד כי בית משפט קמא שגה כאשר התייחס לקשר בין התנהלותה של עיריית חיפה לבין הנסיבות שמנעו מאריאל לזכות במכרז חיפה. לטענתה, הערך בדבר קיומה של תחרות מגלם בתוכו אינטרס ציבורי שאין בידי צד כלשהו </w:t>
      </w:r>
      <w:r>
        <w:rPr>
          <w:rFonts w:hint="eastAsia"/>
          <w:rtl/>
        </w:rPr>
        <w:t>–</w:t>
      </w:r>
      <w:r>
        <w:rPr>
          <w:rFonts w:hint="cs"/>
          <w:rtl/>
        </w:rPr>
        <w:t xml:space="preserve"> אפילו היה אותו צד קרבנו של ההסדר הכובל </w:t>
      </w:r>
      <w:r>
        <w:rPr>
          <w:rFonts w:hint="eastAsia"/>
          <w:rtl/>
        </w:rPr>
        <w:t>–</w:t>
      </w:r>
      <w:r>
        <w:rPr>
          <w:rFonts w:hint="cs"/>
          <w:rtl/>
        </w:rPr>
        <w:t xml:space="preserve"> לוותר עליו, וכי אין באי</w:t>
      </w:r>
      <w:r w:rsidRPr="001768AD">
        <w:rPr>
          <w:rFonts w:hint="cs"/>
          <w:position w:val="4"/>
          <w:rtl/>
        </w:rPr>
        <w:t>-</w:t>
      </w:r>
      <w:r>
        <w:rPr>
          <w:rFonts w:hint="cs"/>
          <w:rtl/>
        </w:rPr>
        <w:t xml:space="preserve">יכולתו של צד להסדר להתמודד במכרז, ולקיים תחרות, כדי לפטור אותו מאחריותו לביצוע עבירה של תיאום מכרז. גם בשל כך נטען כי אין הצדקה לתחולתו של סייג זוטי הדברים במקרה הנוכחי. </w:t>
      </w:r>
    </w:p>
    <w:p w:rsidR="006A180F" w:rsidRDefault="006A180F" w:rsidP="006A180F">
      <w:pPr>
        <w:pStyle w:val="a"/>
        <w:rPr>
          <w:rFonts w:hint="cs"/>
          <w:rtl/>
        </w:rPr>
      </w:pPr>
      <w:r>
        <w:rPr>
          <w:rFonts w:hint="cs"/>
          <w:rtl/>
        </w:rPr>
        <w:t xml:space="preserve"> זאת ועוד, להשקפת המערערת, שגה</w:t>
      </w:r>
      <w:r w:rsidR="00BA5973">
        <w:rPr>
          <w:rFonts w:hint="cs"/>
          <w:rtl/>
        </w:rPr>
        <w:t xml:space="preserve"> </w:t>
      </w:r>
      <w:r>
        <w:rPr>
          <w:rFonts w:hint="cs"/>
          <w:rtl/>
        </w:rPr>
        <w:t xml:space="preserve">בית משפט קמא בהתייחסו לעבירת ההסדר הכובל, ובייחוד כשמדובר בתיאום מכרז, כאל עבירה </w:t>
      </w:r>
      <w:r w:rsidRPr="001768AD">
        <w:rPr>
          <w:rFonts w:cs="Miriam" w:hint="cs"/>
          <w:szCs w:val="19"/>
          <w:rtl/>
        </w:rPr>
        <w:t>תוצאתית</w:t>
      </w:r>
      <w:r w:rsidRPr="001768AD">
        <w:rPr>
          <w:rFonts w:hint="cs"/>
          <w:rtl/>
        </w:rPr>
        <w:t xml:space="preserve"> </w:t>
      </w:r>
      <w:r>
        <w:rPr>
          <w:rFonts w:hint="cs"/>
          <w:rtl/>
        </w:rPr>
        <w:t xml:space="preserve">אשר פגיעה בתחרות הוא אחד מיסודותיה. לפיכך לעניין תחולתו של סייג זוטי דברים אין כל רלוונטיות לנתון שלפיו הפגיעה בתחרות הייתה קלה בלבד. מכל מקום, לגירסת המערערת, הריכוזיות בשוק הרמזורים ונתח השוק המצרפי של מנורה ואריאל, המתקרב לחמישים אחוזים מכלל השוק, אינם מאפשרים להגיע למסקנה כי ההסכם בין מנורה לאריאל גרם לפגיעה קלה בלבד בתחרות. </w:t>
      </w:r>
    </w:p>
    <w:p w:rsidR="006A180F" w:rsidRDefault="006A180F" w:rsidP="0022545B">
      <w:pPr>
        <w:pStyle w:val="a"/>
        <w:rPr>
          <w:rFonts w:hint="cs"/>
          <w:rtl/>
        </w:rPr>
      </w:pPr>
      <w:r>
        <w:rPr>
          <w:rFonts w:hint="cs"/>
          <w:rtl/>
        </w:rPr>
        <w:t xml:space="preserve">המערערת סבורה כי כאשר מדובר בעבירות לפי </w:t>
      </w:r>
      <w:hyperlink r:id="rId117" w:history="1">
        <w:r w:rsidR="00A7624C" w:rsidRPr="00A7624C">
          <w:rPr>
            <w:rStyle w:val="Hyperlink"/>
            <w:rtl/>
          </w:rPr>
          <w:t>חוק ההגבלים העסקיים</w:t>
        </w:r>
      </w:hyperlink>
      <w:r>
        <w:rPr>
          <w:rFonts w:hint="cs"/>
          <w:rtl/>
        </w:rPr>
        <w:t>, לסייג בדבר זוטי דברים תחולה מצומצמת במיוחד. בהקשר זה מפנה המערערת ל</w:t>
      </w:r>
      <w:r w:rsidR="004C5B7C" w:rsidRPr="00A7624C">
        <w:rPr>
          <w:rFonts w:hint="eastAsia"/>
          <w:rtl/>
        </w:rPr>
        <w:t>כללי</w:t>
      </w:r>
      <w:r w:rsidR="004C5B7C" w:rsidRPr="00A7624C">
        <w:rPr>
          <w:rtl/>
        </w:rPr>
        <w:t xml:space="preserve"> ההגבלים העסקיים</w:t>
      </w:r>
      <w:r>
        <w:rPr>
          <w:rFonts w:hint="cs"/>
          <w:rtl/>
        </w:rPr>
        <w:t xml:space="preserve"> (פטור סוג להסכמים שפגיעתם בתחרות קלת ערך), תשס"א-2001 (להלן</w:t>
      </w:r>
      <w:r w:rsidR="0022545B">
        <w:rPr>
          <w:rFonts w:hint="cs"/>
          <w:rtl/>
        </w:rPr>
        <w:t xml:space="preserve"> –</w:t>
      </w:r>
      <w:r>
        <w:rPr>
          <w:rFonts w:hint="cs"/>
          <w:rtl/>
        </w:rPr>
        <w:t xml:space="preserve"> כללי הפטור), המתווים קריטריונים אשר בהתקיימם תיחשב הפגיעה בתחרות "קלת ערך". לטענתה, הסדרים שאינם עומדים בדרישות הפטור אינם יכולים לחסות בצלו של הסייג הקבוע </w:t>
      </w:r>
      <w:hyperlink r:id="rId118" w:history="1">
        <w:r w:rsidR="0025156A" w:rsidRPr="0025156A">
          <w:rPr>
            <w:color w:val="0000FF"/>
            <w:u w:val="single"/>
            <w:rtl/>
          </w:rPr>
          <w:t>בסעיף 34יז</w:t>
        </w:r>
      </w:hyperlink>
      <w:r>
        <w:rPr>
          <w:rFonts w:hint="cs"/>
          <w:rtl/>
        </w:rPr>
        <w:t xml:space="preserve"> לחוק העונשין.</w:t>
      </w:r>
    </w:p>
    <w:p w:rsidR="006A180F" w:rsidRDefault="006A180F" w:rsidP="006A180F">
      <w:pPr>
        <w:pStyle w:val="a"/>
        <w:rPr>
          <w:rFonts w:hint="cs"/>
          <w:rtl/>
        </w:rPr>
      </w:pPr>
      <w:r>
        <w:rPr>
          <w:rFonts w:hint="cs"/>
          <w:rtl/>
        </w:rPr>
        <w:t>המערערת מלינה גם על זיכויו של אופיר. לגישתה, לא זו בלבד שתרומתו של אופיר להתגבשותו של ההסכם הייתה מכרעת, אלא שבמעשיו הוא תרם גם לאכיפתו של ההסדר. המערערת סבורה כי מאחר שמדובר בהסדר הלוקה באי</w:t>
      </w:r>
      <w:r w:rsidRPr="0022545B">
        <w:rPr>
          <w:rFonts w:hint="cs"/>
          <w:position w:val="4"/>
          <w:rtl/>
        </w:rPr>
        <w:t>-</w:t>
      </w:r>
      <w:r>
        <w:rPr>
          <w:rFonts w:hint="cs"/>
          <w:rtl/>
        </w:rPr>
        <w:t>חוקיות, אין הצדדים להסכם יכולים להיעזר במערכת המשפט לשם אכיפתו, ולפיכך נדרש גוף חלופי האמון על קיומו של ההסכם, ומכאן, לגישתה, מעמדו המרכזי של אופיר בפרשה.</w:t>
      </w:r>
    </w:p>
    <w:p w:rsidR="00CD5C20" w:rsidRDefault="006A180F" w:rsidP="006A180F">
      <w:pPr>
        <w:pStyle w:val="a"/>
        <w:rPr>
          <w:rtl/>
        </w:rPr>
      </w:pPr>
      <w:r>
        <w:rPr>
          <w:rFonts w:hint="cs"/>
          <w:rtl/>
        </w:rPr>
        <w:t>באשר לתחולת ההגנה של הרשות השופטת על בורר טוענת המערערת כי היא חלה רק על נושאי משרה שיפוטית הפועלים במסגרתה של הרשות השופטת, ולא על כל אדם שממלא, באורח פונקציונלי, תפקיד שיפוטי או מעין</w:t>
      </w:r>
      <w:r w:rsidRPr="0022545B">
        <w:rPr>
          <w:rFonts w:hint="cs"/>
          <w:position w:val="4"/>
          <w:rtl/>
        </w:rPr>
        <w:t>-</w:t>
      </w:r>
      <w:r>
        <w:rPr>
          <w:rFonts w:hint="cs"/>
          <w:rtl/>
        </w:rPr>
        <w:t xml:space="preserve">שיפוטי. נטען כי החלתה של </w:t>
      </w:r>
    </w:p>
    <w:p w:rsidR="006A180F" w:rsidRDefault="00CD5C20" w:rsidP="00CD5C20">
      <w:pPr>
        <w:pStyle w:val="a"/>
        <w:ind w:firstLine="0"/>
        <w:rPr>
          <w:rFonts w:hint="cs"/>
          <w:rtl/>
        </w:rPr>
      </w:pPr>
      <w:r>
        <w:rPr>
          <w:rtl/>
        </w:rPr>
        <w:br w:type="page"/>
      </w:r>
      <w:r w:rsidR="006A180F">
        <w:rPr>
          <w:rFonts w:hint="cs"/>
          <w:rtl/>
        </w:rPr>
        <w:t xml:space="preserve">ההגנה על בוררים עלולה לאפשר להם לתת את ידיהם למעשי עבירה אגב הליך הבוררות בלא חשש שייאלצו לתת על כך את הדין. לחלופין טוענת המערערת כי אם ההגנה על הרשות השופטת אכן חלה על בוררים, אין מקום להחילה בנסיבות העניין משום שבפעילותו חרג אופיר מתפקידו כבורר. </w:t>
      </w:r>
    </w:p>
    <w:p w:rsidR="006A180F" w:rsidRPr="00101022" w:rsidRDefault="006A180F" w:rsidP="0022545B">
      <w:pPr>
        <w:pStyle w:val="a"/>
        <w:rPr>
          <w:rFonts w:hint="cs"/>
          <w:rtl/>
        </w:rPr>
      </w:pPr>
      <w:r w:rsidRPr="0022545B">
        <w:rPr>
          <w:rFonts w:cs="Miriam" w:hint="cs"/>
          <w:szCs w:val="19"/>
          <w:rtl/>
        </w:rPr>
        <w:t>טענות המשיבים</w:t>
      </w:r>
    </w:p>
    <w:p w:rsidR="006A180F" w:rsidRDefault="006A180F" w:rsidP="006A180F">
      <w:pPr>
        <w:pStyle w:val="a"/>
        <w:rPr>
          <w:rFonts w:hint="cs"/>
          <w:rtl/>
        </w:rPr>
      </w:pPr>
      <w:r>
        <w:rPr>
          <w:rFonts w:hint="cs"/>
          <w:rtl/>
        </w:rPr>
        <w:t>10.</w:t>
      </w:r>
      <w:r>
        <w:rPr>
          <w:rFonts w:hint="cs"/>
          <w:rtl/>
        </w:rPr>
        <w:tab/>
        <w:t>המשיבים 1 ו</w:t>
      </w:r>
      <w:r w:rsidRPr="0022545B">
        <w:rPr>
          <w:rFonts w:hint="cs"/>
          <w:position w:val="4"/>
          <w:rtl/>
        </w:rPr>
        <w:t>-</w:t>
      </w:r>
      <w:r>
        <w:rPr>
          <w:rFonts w:hint="cs"/>
          <w:rtl/>
        </w:rPr>
        <w:t xml:space="preserve">2 חזרו בפנינו על קו ההגנה שנקטו בבית משפט קמא, לאמור: הם סבורים כי העבירה של חלוקת שוק, כמשמעה </w:t>
      </w:r>
      <w:hyperlink r:id="rId119" w:history="1">
        <w:r w:rsidR="0025156A" w:rsidRPr="0025156A">
          <w:rPr>
            <w:color w:val="0000FF"/>
            <w:u w:val="single"/>
            <w:rtl/>
          </w:rPr>
          <w:t>בסעיף 2(ב)</w:t>
        </w:r>
      </w:hyperlink>
      <w:r>
        <w:rPr>
          <w:rFonts w:hint="cs"/>
          <w:rtl/>
        </w:rPr>
        <w:t xml:space="preserve"> לחוק ההגבלים, לא התקיימה בעניינם</w:t>
      </w:r>
      <w:r w:rsidRPr="008C2A50">
        <w:rPr>
          <w:rFonts w:hint="cs"/>
          <w:rtl/>
        </w:rPr>
        <w:t xml:space="preserve"> </w:t>
      </w:r>
      <w:r>
        <w:rPr>
          <w:rFonts w:hint="cs"/>
          <w:rtl/>
        </w:rPr>
        <w:t xml:space="preserve">כלל. לגישתם, מכיוון ששוק הרמזורים בחיפה היה בשליטתה של מנורה גם לפני ההסכם, ולאריאל לא היה כל סיכוי לזכות בשליטה כזו, כי אז המסקנה היא שאריאל לא ויתרה על פלח שוק פוטנציאלי כי אם השלימה עם מציאות קיימת. על כך מוסיף המשיב 3 כי בשל אופיו של שוק הרמזורים בחיפה, ובעיקר בשל חסמי הכניסה לשוק זה, אין לראות באריאל ובמנורה מתחרות, ומשכך אין להחיל בעניינן את האמור </w:t>
      </w:r>
      <w:hyperlink r:id="rId120" w:history="1">
        <w:r w:rsidR="0025156A" w:rsidRPr="0025156A">
          <w:rPr>
            <w:color w:val="0000FF"/>
            <w:u w:val="single"/>
            <w:rtl/>
          </w:rPr>
          <w:t>בסעיף 2(ב)</w:t>
        </w:r>
      </w:hyperlink>
      <w:r>
        <w:rPr>
          <w:rFonts w:hint="cs"/>
          <w:rtl/>
        </w:rPr>
        <w:t xml:space="preserve"> ל</w:t>
      </w:r>
      <w:hyperlink r:id="rId121" w:history="1">
        <w:r w:rsidR="00A7624C" w:rsidRPr="00A7624C">
          <w:rPr>
            <w:rStyle w:val="Hyperlink"/>
            <w:rtl/>
          </w:rPr>
          <w:t>חוק ההגבלים העסקיים</w:t>
        </w:r>
      </w:hyperlink>
      <w:r>
        <w:rPr>
          <w:rFonts w:hint="cs"/>
          <w:rtl/>
        </w:rPr>
        <w:t>.</w:t>
      </w:r>
    </w:p>
    <w:p w:rsidR="006A180F" w:rsidRDefault="006A180F" w:rsidP="006A180F">
      <w:pPr>
        <w:pStyle w:val="a"/>
        <w:rPr>
          <w:rFonts w:hint="cs"/>
          <w:rtl/>
        </w:rPr>
      </w:pPr>
      <w:r>
        <w:rPr>
          <w:rFonts w:hint="cs"/>
          <w:rtl/>
        </w:rPr>
        <w:t xml:space="preserve">ועוד טענו המשיבים כי עבירת ההסדר הכובל אינה עבירת התנהגות רגילה, שכן אחד מרכיביה הוא </w:t>
      </w:r>
      <w:r w:rsidRPr="000F4CC6">
        <w:rPr>
          <w:rFonts w:hint="cs"/>
          <w:rtl/>
        </w:rPr>
        <w:t>יסוד ה</w:t>
      </w:r>
      <w:r>
        <w:rPr>
          <w:rFonts w:hint="cs"/>
          <w:rtl/>
        </w:rPr>
        <w:t>פוטנציאל ל</w:t>
      </w:r>
      <w:r w:rsidRPr="000F4CC6">
        <w:rPr>
          <w:rFonts w:hint="cs"/>
          <w:rtl/>
        </w:rPr>
        <w:t>פגיעה בתחרות</w:t>
      </w:r>
      <w:r>
        <w:rPr>
          <w:rFonts w:hint="cs"/>
          <w:rtl/>
        </w:rPr>
        <w:t>. לטענת המשיבים, להסדר הנדון לא רק שלא הייתה השפעה בפועל על התחרות, אלא שגם פוטנציאל לפגיעה כזו נעדר ממנו, ומכאן שרכיביה העובדתיים של העבירה לא השתכללו כלל בעניינם. באשר להרשלום טוענים המשיבים כי מנקודת מבטו לא הייתה כל תחרות בשוק הרמזורים בחיפה, ומשכך הוא לא היה מודע לכך שההסדר מהווה "חלוקת שוק".</w:t>
      </w:r>
    </w:p>
    <w:p w:rsidR="006A180F" w:rsidRDefault="006A180F" w:rsidP="006A180F">
      <w:pPr>
        <w:pStyle w:val="a"/>
        <w:rPr>
          <w:rFonts w:hint="cs"/>
          <w:rtl/>
        </w:rPr>
      </w:pPr>
      <w:r>
        <w:rPr>
          <w:rFonts w:hint="cs"/>
          <w:rtl/>
        </w:rPr>
        <w:t>באשר לסייג בדבר זוטי דברים טענו המשיבים כי אין מקום לקביעה כללית שאין לסייג זה תחולה בעבירה של הסדרים כובלים, א</w:t>
      </w:r>
      <w:r w:rsidRPr="0022545B">
        <w:rPr>
          <w:rFonts w:hint="cs"/>
          <w:position w:val="4"/>
          <w:rtl/>
        </w:rPr>
        <w:t>-</w:t>
      </w:r>
      <w:r>
        <w:rPr>
          <w:rFonts w:hint="cs"/>
          <w:rtl/>
        </w:rPr>
        <w:t>פריורית. המשיבים מוסיפים כי</w:t>
      </w:r>
      <w:r>
        <w:rPr>
          <w:rFonts w:cs="Miriam" w:hint="cs"/>
          <w:sz w:val="24"/>
          <w:rtl/>
        </w:rPr>
        <w:t xml:space="preserve"> </w:t>
      </w:r>
      <w:r>
        <w:rPr>
          <w:rFonts w:hint="cs"/>
          <w:rtl/>
        </w:rPr>
        <w:t>ביסודו של חוק</w:t>
      </w:r>
      <w:r>
        <w:rPr>
          <w:rFonts w:cs="Miriam" w:hint="cs"/>
          <w:sz w:val="24"/>
          <w:rtl/>
        </w:rPr>
        <w:t xml:space="preserve"> </w:t>
      </w:r>
      <w:r>
        <w:rPr>
          <w:rFonts w:hint="cs"/>
          <w:rtl/>
        </w:rPr>
        <w:t xml:space="preserve">ההגבלים ניצבת תכלית של מניעת הפגיעה בתחרות החופשית. לפיכך מקום שבו נמצא כי אין מתקיימת כל פגיעה בערך זה, אין טעם להחיל על אדם את האיסורים הקבועים בחוק אגב הכתמת שמו בהרשעה בפלילים. ועוד, לטענת המשיבים בית משפט קמא נהג נכון כאשר הביא בחשבון, לעניין החלתו של הסייג בדבר זוטי דברים, את התחרות ארוכת השנים שהתנהלה בין אריאל למנורה בשנים שחלפו עד לעריכתו של מכרז חיפה, הואיל וגם נסיבה זו שופכת אור על התנהגותם של מבצעי העבירה ומפחיתה מחומרת מעשיהם. </w:t>
      </w:r>
    </w:p>
    <w:p w:rsidR="00CD5C20" w:rsidRDefault="006A180F" w:rsidP="006A180F">
      <w:pPr>
        <w:pStyle w:val="a"/>
        <w:rPr>
          <w:rtl/>
        </w:rPr>
      </w:pPr>
      <w:r>
        <w:rPr>
          <w:rFonts w:hint="cs"/>
          <w:rtl/>
        </w:rPr>
        <w:t>11.</w:t>
      </w:r>
      <w:r>
        <w:rPr>
          <w:rFonts w:hint="cs"/>
          <w:rtl/>
        </w:rPr>
        <w:tab/>
        <w:t xml:space="preserve">לטענות אלה הוסיף המשיב 3 כי צדק בית משפט קמא בזכותו אותו מהעבירה של סיוע לעבירה של הסדר כובל, בשל חלקו השולי בעבירה זו. ועוד טען כי במעשיו </w:t>
      </w:r>
    </w:p>
    <w:p w:rsidR="006A180F" w:rsidRDefault="00CD5C20" w:rsidP="00CD5C20">
      <w:pPr>
        <w:pStyle w:val="a"/>
        <w:ind w:firstLine="0"/>
        <w:rPr>
          <w:rFonts w:hint="cs"/>
          <w:rtl/>
        </w:rPr>
      </w:pPr>
      <w:r>
        <w:rPr>
          <w:rtl/>
        </w:rPr>
        <w:br w:type="page"/>
      </w:r>
      <w:r w:rsidR="006A180F">
        <w:rPr>
          <w:rFonts w:hint="cs"/>
          <w:rtl/>
        </w:rPr>
        <w:t>לא התקיים כלל היסוד הנפשי הנדרש לשם הרשעה בסיוע לדבר עבירה, שכן הוא לא היה מודע לפליליותו של המעשה שלו הוא סייע. יתרה מכך, לטענת אופיר, לשם הרשעתו בעבירה של סיוע לעבירה היה על התביעה להוכיח כי התקיימה בו הכוונה לסייע, והרי בעת ששימש בורר כל שנדרש היה להכריע בסכסוך המסחרי שבין מנורה לאריאל, ולא הייתה לו מטרה אחרת כלשהי.</w:t>
      </w:r>
    </w:p>
    <w:p w:rsidR="006A180F" w:rsidRDefault="006A180F" w:rsidP="006A180F">
      <w:pPr>
        <w:pStyle w:val="a"/>
        <w:rPr>
          <w:rFonts w:hint="cs"/>
          <w:rtl/>
        </w:rPr>
      </w:pPr>
      <w:r>
        <w:rPr>
          <w:rFonts w:hint="cs"/>
          <w:rtl/>
        </w:rPr>
        <w:t>גם באשר להגנה על נושא משרה שיפוטית סבור המשיב 3 כי</w:t>
      </w:r>
      <w:r>
        <w:rPr>
          <w:rFonts w:cs="Miriam" w:hint="cs"/>
          <w:sz w:val="24"/>
          <w:rtl/>
        </w:rPr>
        <w:t xml:space="preserve"> </w:t>
      </w:r>
      <w:r>
        <w:rPr>
          <w:rFonts w:hint="cs"/>
          <w:rtl/>
        </w:rPr>
        <w:t>הפרשנות שנקט בית משפט קמא היא פרשנות ראויה. לטענתו, הליך הבוררות הוא "הליך שיפוטי", וככזה הוא מזכה את הבורר המנהל את ההליך בהגנה העומדת לנושא משרה שיפוטית. כן נטען כי כאשר מדובר בסכסוך מסחרי</w:t>
      </w:r>
      <w:r w:rsidRPr="0022545B">
        <w:rPr>
          <w:rFonts w:hint="cs"/>
          <w:position w:val="4"/>
          <w:rtl/>
        </w:rPr>
        <w:t>-</w:t>
      </w:r>
      <w:r>
        <w:rPr>
          <w:rFonts w:hint="cs"/>
          <w:rtl/>
        </w:rPr>
        <w:t xml:space="preserve">עסקי, פעמים רבות יישובו של הסכסוך עשוי להיות כרוך בהשלכות על התחרות, ואין רצוי שבוררים יפעלו בחשש מתמיד כי הם יורשעו בסיוע לעבירה של יצירת הסדר כובל. </w:t>
      </w:r>
    </w:p>
    <w:p w:rsidR="006A180F" w:rsidRPr="0022545B" w:rsidRDefault="006A180F" w:rsidP="0022545B">
      <w:pPr>
        <w:pStyle w:val="a"/>
        <w:rPr>
          <w:rFonts w:cs="Miriam" w:hint="cs"/>
          <w:szCs w:val="19"/>
          <w:rtl/>
        </w:rPr>
      </w:pPr>
      <w:r w:rsidRPr="0022545B">
        <w:rPr>
          <w:rFonts w:cs="Miriam" w:hint="cs"/>
          <w:szCs w:val="19"/>
          <w:rtl/>
        </w:rPr>
        <w:t>דיון</w:t>
      </w:r>
    </w:p>
    <w:p w:rsidR="006A180F" w:rsidRDefault="006A180F" w:rsidP="006A180F">
      <w:pPr>
        <w:pStyle w:val="a"/>
        <w:rPr>
          <w:rFonts w:hint="cs"/>
          <w:rtl/>
        </w:rPr>
      </w:pPr>
      <w:r>
        <w:rPr>
          <w:rFonts w:hint="cs"/>
          <w:rtl/>
        </w:rPr>
        <w:t>12.</w:t>
      </w:r>
      <w:r>
        <w:rPr>
          <w:rFonts w:hint="cs"/>
          <w:rtl/>
        </w:rPr>
        <w:tab/>
        <w:t xml:space="preserve">הדיון בערעור שלפנינו יתחלק לשלושה חלקים: בחלק הראשון נבחן אם במעשיהם של המשיבים התקיימו רכיביה של עבירת ההסדר הכובל. אם התשובה לכך תהיה חיובית, כי אז נפנה לבחון את היקף תחולתו של הסייג בדבר זוטי דברים על עבירות לפי </w:t>
      </w:r>
      <w:hyperlink r:id="rId122" w:history="1">
        <w:r w:rsidR="00A7624C" w:rsidRPr="00A7624C">
          <w:rPr>
            <w:rStyle w:val="Hyperlink"/>
            <w:rtl/>
          </w:rPr>
          <w:t>חוק ההגבלים העסקיים</w:t>
        </w:r>
      </w:hyperlink>
      <w:r>
        <w:rPr>
          <w:rFonts w:hint="cs"/>
          <w:rtl/>
        </w:rPr>
        <w:t>, ואף נבדוק אם ראוי להחיל סייג זה במקרה דנן. חלקו השלישי של הדיון יתמקד באחריותו של המשיב 3 בפרשה, בעבירה של סיוע ליצירת הסדר כובל ובהיקף ההגנה על הרשות השופטת.</w:t>
      </w:r>
    </w:p>
    <w:p w:rsidR="00CD5C20" w:rsidRDefault="006A180F" w:rsidP="005D17B1">
      <w:pPr>
        <w:pStyle w:val="a"/>
        <w:rPr>
          <w:spacing w:val="-2"/>
          <w:rtl/>
        </w:rPr>
      </w:pPr>
      <w:r>
        <w:rPr>
          <w:rFonts w:hint="cs"/>
          <w:rtl/>
        </w:rPr>
        <w:t>13.</w:t>
      </w:r>
      <w:r>
        <w:rPr>
          <w:rFonts w:hint="cs"/>
          <w:rtl/>
        </w:rPr>
        <w:tab/>
        <w:t xml:space="preserve">הערך העומד בבסיסם של דיני ההגבלים העסקיים הוא הערך בדבר קיומה של תחרות חופשית. תחרות כזו מבטיחה לצרכן כי מהיצע המוצרים בשוק הוא יוכל לבחור ולרכוש את המוצר האיכותי ביותר, במחיר הזול ביותר. ואכן, לא בכדי כינה </w:t>
      </w:r>
      <w:r w:rsidRPr="0022545B">
        <w:rPr>
          <w:rFonts w:cs="Miriam" w:hint="cs"/>
          <w:szCs w:val="19"/>
          <w:rtl/>
        </w:rPr>
        <w:t>הנשיא ברק</w:t>
      </w:r>
      <w:r w:rsidRPr="0022545B">
        <w:rPr>
          <w:rFonts w:hint="cs"/>
          <w:rtl/>
        </w:rPr>
        <w:t xml:space="preserve"> </w:t>
      </w:r>
      <w:r>
        <w:rPr>
          <w:rFonts w:hint="cs"/>
          <w:rtl/>
        </w:rPr>
        <w:t>את דיני ההגבלים העסקיים כ</w:t>
      </w:r>
      <w:r w:rsidR="0022545B">
        <w:rPr>
          <w:rFonts w:hint="cs"/>
          <w:rtl/>
        </w:rPr>
        <w:t>"</w:t>
      </w:r>
      <w:r>
        <w:rPr>
          <w:rFonts w:hint="cs"/>
          <w:rtl/>
        </w:rPr>
        <w:t>מגנא כרטא</w:t>
      </w:r>
      <w:r w:rsidR="0022545B">
        <w:rPr>
          <w:rFonts w:hint="cs"/>
          <w:rtl/>
        </w:rPr>
        <w:t>"</w:t>
      </w:r>
      <w:r>
        <w:rPr>
          <w:rFonts w:hint="cs"/>
          <w:rtl/>
        </w:rPr>
        <w:t xml:space="preserve"> של זכויות הצרכן (</w:t>
      </w:r>
      <w:hyperlink r:id="rId123" w:history="1">
        <w:r w:rsidR="004C5B7C" w:rsidRPr="00AD4D63">
          <w:rPr>
            <w:rStyle w:val="Hyperlink"/>
            <w:rFonts w:cs="Miriam" w:hint="eastAsia"/>
            <w:szCs w:val="19"/>
            <w:rtl/>
          </w:rPr>
          <w:t>ע</w:t>
        </w:r>
        <w:r w:rsidR="004C5B7C" w:rsidRPr="00AD4D63">
          <w:rPr>
            <w:rStyle w:val="Hyperlink"/>
            <w:rFonts w:cs="Miriam"/>
            <w:szCs w:val="19"/>
            <w:rtl/>
          </w:rPr>
          <w:t>"א 2247/95</w:t>
        </w:r>
      </w:hyperlink>
      <w:r w:rsidRPr="0022545B">
        <w:rPr>
          <w:rFonts w:cs="Miriam" w:hint="cs"/>
          <w:szCs w:val="19"/>
          <w:rtl/>
        </w:rPr>
        <w:t xml:space="preserve"> הממונה על הגבלים עסקיים נ' תנובה מרכז שיתוף לשיווק תוצרת חקלאות בישראל בע"מ</w:t>
      </w:r>
      <w:r w:rsidR="0022545B">
        <w:rPr>
          <w:rFonts w:cs="Miriam" w:hint="cs"/>
          <w:szCs w:val="19"/>
          <w:rtl/>
        </w:rPr>
        <w:t xml:space="preserve"> </w:t>
      </w:r>
      <w:r w:rsidR="0022545B">
        <w:rPr>
          <w:rFonts w:hint="cs"/>
          <w:rtl/>
        </w:rPr>
        <w:t xml:space="preserve">(להלן – פרשת </w:t>
      </w:r>
      <w:r w:rsidR="0022545B" w:rsidRPr="0022545B">
        <w:rPr>
          <w:rFonts w:cs="Miriam" w:hint="cs"/>
          <w:szCs w:val="19"/>
          <w:rtl/>
        </w:rPr>
        <w:t xml:space="preserve">תנובה </w:t>
      </w:r>
      <w:r w:rsidR="0022545B">
        <w:rPr>
          <w:rFonts w:cs="Miriam" w:hint="cs"/>
          <w:szCs w:val="19"/>
          <w:rtl/>
        </w:rPr>
        <w:t>[1]</w:t>
      </w:r>
      <w:r w:rsidR="0022545B">
        <w:rPr>
          <w:rFonts w:hint="cs"/>
          <w:rtl/>
        </w:rPr>
        <w:t>)</w:t>
      </w:r>
      <w:r>
        <w:rPr>
          <w:rFonts w:hint="cs"/>
          <w:rtl/>
        </w:rPr>
        <w:t>,</w:t>
      </w:r>
      <w:r w:rsidR="0022545B">
        <w:rPr>
          <w:rFonts w:hint="cs"/>
          <w:rtl/>
        </w:rPr>
        <w:t xml:space="preserve"> </w:t>
      </w:r>
      <w:r w:rsidR="0022545B">
        <w:rPr>
          <w:rFonts w:cs="Miriam" w:hint="cs"/>
          <w:szCs w:val="19"/>
          <w:rtl/>
        </w:rPr>
        <w:t>בעמ'</w:t>
      </w:r>
      <w:r w:rsidRPr="0022545B">
        <w:rPr>
          <w:rFonts w:cs="Miriam" w:hint="cs"/>
          <w:szCs w:val="19"/>
          <w:rtl/>
        </w:rPr>
        <w:t xml:space="preserve"> 230</w:t>
      </w:r>
      <w:r>
        <w:rPr>
          <w:rFonts w:hint="cs"/>
          <w:rtl/>
        </w:rPr>
        <w:t>). זאת ועוד, התחרות החופשית אף מעניקה ליצרן תמריץ לפתח ולחדש את מלאי המוצרים, ולא לקפוא על שמריו, שאם יעשה כן, יוכל לנסות ל</w:t>
      </w:r>
      <w:r w:rsidRPr="00024721">
        <w:rPr>
          <w:rFonts w:hint="cs"/>
          <w:spacing w:val="-2"/>
          <w:rtl/>
        </w:rPr>
        <w:t xml:space="preserve">זכות ביתרון יחסי על פני מתחריו, יתרון שרווח בצדו. ברי כי מהתפתחות זו יוצא גם הצרכן נשכר, אולם תחרות חופשית היא גם תנאי הכרחי לקיומו של משק יעיל ובריא, ואף לצמיחה כלכלית. התחרות מעודדת יזמות, גורמת לשיפור מתמיד של היצע המוצרים בשוק ולהדרתם של יצרנים בלתי יעילים ממנו (ראו: י' יגור </w:t>
      </w:r>
      <w:r w:rsidRPr="00024721">
        <w:rPr>
          <w:rFonts w:cs="Miriam" w:hint="cs"/>
          <w:spacing w:val="-2"/>
          <w:szCs w:val="19"/>
          <w:rtl/>
        </w:rPr>
        <w:t>דיני הגבלים עסקיים</w:t>
      </w:r>
      <w:r w:rsidR="005D17B1" w:rsidRPr="00024721">
        <w:rPr>
          <w:rFonts w:cs="Miriam" w:hint="cs"/>
          <w:spacing w:val="-2"/>
          <w:szCs w:val="19"/>
          <w:rtl/>
        </w:rPr>
        <w:t xml:space="preserve"> </w:t>
      </w:r>
      <w:r w:rsidR="005D17B1" w:rsidRPr="00024721">
        <w:rPr>
          <w:rFonts w:hint="cs"/>
          <w:spacing w:val="-2"/>
          <w:rtl/>
        </w:rPr>
        <w:t>(להלן – יגור</w:t>
      </w:r>
      <w:r w:rsidR="005D17B1" w:rsidRPr="00024721">
        <w:rPr>
          <w:rFonts w:cs="Miriam" w:hint="cs"/>
          <w:spacing w:val="-2"/>
          <w:szCs w:val="19"/>
          <w:rtl/>
        </w:rPr>
        <w:t xml:space="preserve"> [</w:t>
      </w:r>
      <w:r w:rsidR="00BA5973" w:rsidRPr="00024721">
        <w:rPr>
          <w:rFonts w:cs="Miriam" w:hint="cs"/>
          <w:spacing w:val="-2"/>
          <w:szCs w:val="19"/>
          <w:rtl/>
        </w:rPr>
        <w:t>27</w:t>
      </w:r>
      <w:r w:rsidR="005D17B1" w:rsidRPr="00024721">
        <w:rPr>
          <w:rFonts w:cs="Miriam" w:hint="cs"/>
          <w:spacing w:val="-2"/>
          <w:szCs w:val="19"/>
          <w:rtl/>
        </w:rPr>
        <w:t>]</w:t>
      </w:r>
      <w:r w:rsidR="005D17B1" w:rsidRPr="00024721">
        <w:rPr>
          <w:rFonts w:hint="cs"/>
          <w:spacing w:val="-2"/>
          <w:rtl/>
        </w:rPr>
        <w:t xml:space="preserve">), </w:t>
      </w:r>
      <w:r w:rsidR="005D17B1" w:rsidRPr="00024721">
        <w:rPr>
          <w:rFonts w:cs="Miriam" w:hint="cs"/>
          <w:spacing w:val="-2"/>
          <w:szCs w:val="19"/>
          <w:rtl/>
        </w:rPr>
        <w:t>בעמ'</w:t>
      </w:r>
      <w:r w:rsidRPr="00024721">
        <w:rPr>
          <w:rFonts w:hint="cs"/>
          <w:spacing w:val="-2"/>
          <w:rtl/>
        </w:rPr>
        <w:t xml:space="preserve"> </w:t>
      </w:r>
      <w:r w:rsidRPr="00024721">
        <w:rPr>
          <w:rFonts w:cs="Miriam" w:hint="cs"/>
          <w:spacing w:val="-2"/>
          <w:szCs w:val="19"/>
          <w:rtl/>
        </w:rPr>
        <w:t>48-47</w:t>
      </w:r>
      <w:r w:rsidRPr="00024721">
        <w:rPr>
          <w:rFonts w:hint="cs"/>
          <w:spacing w:val="-2"/>
          <w:rtl/>
        </w:rPr>
        <w:t xml:space="preserve">, וכן נ' </w:t>
      </w:r>
      <w:hyperlink r:id="rId124" w:history="1">
        <w:r w:rsidR="00AD4D63" w:rsidRPr="00AD4D63">
          <w:rPr>
            <w:rStyle w:val="Hyperlink"/>
            <w:rFonts w:hint="eastAsia"/>
            <w:spacing w:val="-2"/>
            <w:rtl/>
          </w:rPr>
          <w:t>כהן</w:t>
        </w:r>
        <w:r w:rsidR="00AD4D63" w:rsidRPr="00AD4D63">
          <w:rPr>
            <w:rStyle w:val="Hyperlink"/>
            <w:spacing w:val="-2"/>
            <w:rtl/>
          </w:rPr>
          <w:t xml:space="preserve"> "תחרות מסחרית וחופש עיסוק"</w:t>
        </w:r>
      </w:hyperlink>
      <w:r w:rsidR="005D17B1" w:rsidRPr="00024721">
        <w:rPr>
          <w:rFonts w:hint="cs"/>
          <w:spacing w:val="-2"/>
          <w:rtl/>
        </w:rPr>
        <w:t xml:space="preserve"> </w:t>
      </w:r>
      <w:r w:rsidR="005D17B1" w:rsidRPr="00024721">
        <w:rPr>
          <w:rFonts w:cs="Miriam" w:hint="cs"/>
          <w:spacing w:val="-2"/>
          <w:szCs w:val="19"/>
          <w:rtl/>
        </w:rPr>
        <w:t>[</w:t>
      </w:r>
      <w:r w:rsidR="00BA5973" w:rsidRPr="00024721">
        <w:rPr>
          <w:rFonts w:cs="Miriam" w:hint="cs"/>
          <w:spacing w:val="-2"/>
          <w:szCs w:val="19"/>
          <w:rtl/>
        </w:rPr>
        <w:t>32</w:t>
      </w:r>
      <w:r w:rsidR="005D17B1" w:rsidRPr="00024721">
        <w:rPr>
          <w:rFonts w:cs="Miriam" w:hint="cs"/>
          <w:spacing w:val="-2"/>
          <w:szCs w:val="19"/>
          <w:rtl/>
        </w:rPr>
        <w:t>]</w:t>
      </w:r>
      <w:r w:rsidRPr="00024721">
        <w:rPr>
          <w:rFonts w:hint="cs"/>
          <w:spacing w:val="-2"/>
          <w:rtl/>
        </w:rPr>
        <w:t xml:space="preserve">). כל אלה הפכו </w:t>
      </w:r>
    </w:p>
    <w:p w:rsidR="006A180F" w:rsidRDefault="00CD5C20" w:rsidP="00CD5C20">
      <w:pPr>
        <w:pStyle w:val="a"/>
        <w:ind w:firstLine="0"/>
        <w:rPr>
          <w:rFonts w:hint="cs"/>
          <w:rtl/>
        </w:rPr>
      </w:pPr>
      <w:r>
        <w:rPr>
          <w:spacing w:val="-2"/>
          <w:rtl/>
        </w:rPr>
        <w:br w:type="page"/>
      </w:r>
      <w:r w:rsidR="006A180F" w:rsidRPr="00024721">
        <w:rPr>
          <w:rFonts w:hint="cs"/>
          <w:spacing w:val="-2"/>
          <w:rtl/>
        </w:rPr>
        <w:t xml:space="preserve">את ערך התחרות החופשית לערך מרכזי בשיטתנו הכלכלית, החברתית והמשפטית, ודיני ההגבלים העסקיים מבטאים הכרה זו (ראו </w:t>
      </w:r>
      <w:hyperlink r:id="rId125" w:history="1">
        <w:r w:rsidR="00AD4D63" w:rsidRPr="00AD4D63">
          <w:rPr>
            <w:rFonts w:cs="Miriam"/>
            <w:color w:val="0000FF"/>
            <w:spacing w:val="-2"/>
            <w:szCs w:val="19"/>
            <w:u w:val="single"/>
            <w:rtl/>
          </w:rPr>
          <w:t>רע"א 371/89</w:t>
        </w:r>
      </w:hyperlink>
      <w:r w:rsidR="006A180F" w:rsidRPr="00024721">
        <w:rPr>
          <w:rFonts w:cs="Miriam" w:hint="cs"/>
          <w:spacing w:val="-2"/>
          <w:szCs w:val="19"/>
          <w:rtl/>
        </w:rPr>
        <w:t xml:space="preserve"> ליבוביץ נ' א. את י. אליהו בע"מ</w:t>
      </w:r>
      <w:r w:rsidR="005D17B1" w:rsidRPr="00024721">
        <w:rPr>
          <w:rFonts w:cs="Miriam" w:hint="cs"/>
          <w:spacing w:val="-2"/>
          <w:szCs w:val="19"/>
          <w:rtl/>
        </w:rPr>
        <w:t xml:space="preserve"> [2]</w:t>
      </w:r>
      <w:r w:rsidR="006A180F" w:rsidRPr="00024721">
        <w:rPr>
          <w:rFonts w:hint="cs"/>
          <w:spacing w:val="-2"/>
          <w:rtl/>
        </w:rPr>
        <w:t>,</w:t>
      </w:r>
      <w:r w:rsidR="005D17B1" w:rsidRPr="00024721">
        <w:rPr>
          <w:rFonts w:hint="cs"/>
          <w:spacing w:val="-2"/>
          <w:rtl/>
        </w:rPr>
        <w:t xml:space="preserve"> </w:t>
      </w:r>
      <w:r w:rsidR="005D17B1" w:rsidRPr="00024721">
        <w:rPr>
          <w:rFonts w:cs="Miriam" w:hint="cs"/>
          <w:spacing w:val="-2"/>
          <w:szCs w:val="19"/>
          <w:rtl/>
        </w:rPr>
        <w:t>בעמ'</w:t>
      </w:r>
      <w:r w:rsidR="006A180F" w:rsidRPr="00024721">
        <w:rPr>
          <w:rFonts w:cs="Miriam" w:hint="cs"/>
          <w:spacing w:val="-2"/>
          <w:szCs w:val="19"/>
          <w:rtl/>
        </w:rPr>
        <w:t xml:space="preserve"> 327</w:t>
      </w:r>
      <w:r w:rsidR="006A180F" w:rsidRPr="00024721">
        <w:rPr>
          <w:rFonts w:hint="cs"/>
          <w:spacing w:val="-2"/>
          <w:rtl/>
        </w:rPr>
        <w:t xml:space="preserve">). בהקשר זה יפים דבריו של </w:t>
      </w:r>
      <w:r w:rsidR="006A180F" w:rsidRPr="00024721">
        <w:rPr>
          <w:rFonts w:cs="Miriam" w:hint="cs"/>
          <w:spacing w:val="-2"/>
          <w:szCs w:val="19"/>
          <w:rtl/>
        </w:rPr>
        <w:t>הנשיא</w:t>
      </w:r>
      <w:r w:rsidR="006A180F" w:rsidRPr="00024721">
        <w:rPr>
          <w:rFonts w:hint="cs"/>
          <w:spacing w:val="-2"/>
          <w:rtl/>
        </w:rPr>
        <w:t xml:space="preserve"> בפרשת </w:t>
      </w:r>
      <w:r w:rsidR="006A180F" w:rsidRPr="00024721">
        <w:rPr>
          <w:rFonts w:cs="Miriam" w:hint="cs"/>
          <w:spacing w:val="-2"/>
          <w:szCs w:val="19"/>
          <w:rtl/>
        </w:rPr>
        <w:t>תנובה</w:t>
      </w:r>
      <w:r w:rsidR="0097603B" w:rsidRPr="00024721">
        <w:rPr>
          <w:rFonts w:cs="Miriam" w:hint="cs"/>
          <w:spacing w:val="-2"/>
          <w:szCs w:val="19"/>
          <w:rtl/>
        </w:rPr>
        <w:t xml:space="preserve"> [1]</w:t>
      </w:r>
      <w:r w:rsidR="0097603B" w:rsidRPr="00024721">
        <w:rPr>
          <w:rFonts w:hint="cs"/>
          <w:spacing w:val="-2"/>
          <w:rtl/>
        </w:rPr>
        <w:t xml:space="preserve">, </w:t>
      </w:r>
      <w:r w:rsidR="0097603B" w:rsidRPr="00024721">
        <w:rPr>
          <w:rFonts w:cs="Miriam" w:hint="cs"/>
          <w:spacing w:val="-2"/>
          <w:szCs w:val="19"/>
          <w:rtl/>
        </w:rPr>
        <w:t>בעמ' 230-229</w:t>
      </w:r>
      <w:r w:rsidR="006A180F" w:rsidRPr="00024721">
        <w:rPr>
          <w:rFonts w:hint="cs"/>
          <w:spacing w:val="-2"/>
          <w:rtl/>
        </w:rPr>
        <w:t>:</w:t>
      </w:r>
    </w:p>
    <w:p w:rsidR="006A180F" w:rsidRDefault="006A180F" w:rsidP="0097603B">
      <w:pPr>
        <w:pStyle w:val="a4"/>
        <w:rPr>
          <w:rFonts w:hint="cs"/>
          <w:rtl/>
        </w:rPr>
      </w:pPr>
      <w:r>
        <w:rPr>
          <w:rFonts w:hint="cs"/>
          <w:rtl/>
        </w:rPr>
        <w:t>"</w:t>
      </w:r>
      <w:r w:rsidRPr="00F6427E">
        <w:rPr>
          <w:rtl/>
        </w:rPr>
        <w:t xml:space="preserve">התחרות החופשית היא אבן יסוד בכל שיטת משטר דמוקרטי, בהיותה סממן בולט של חירות הפרט להגשמת האוטונומיה שלו. בהגשמת התחרות החופשית ובשמירה עליה יש משום ביזור מוקדי ההכרעה החברתיים ומניעת </w:t>
      </w:r>
      <w:r w:rsidR="0097603B" w:rsidRPr="00F6427E">
        <w:rPr>
          <w:rtl/>
        </w:rPr>
        <w:t>ריכוז</w:t>
      </w:r>
      <w:r w:rsidR="0097603B" w:rsidRPr="0097603B">
        <w:rPr>
          <w:position w:val="4"/>
          <w:rtl/>
        </w:rPr>
        <w:t>-</w:t>
      </w:r>
      <w:r w:rsidRPr="00F6427E">
        <w:rPr>
          <w:rtl/>
        </w:rPr>
        <w:t xml:space="preserve">יתר של כוח בידי השלטון או </w:t>
      </w:r>
      <w:r w:rsidR="0097603B">
        <w:rPr>
          <w:rFonts w:hint="cs"/>
          <w:rtl/>
        </w:rPr>
        <w:t xml:space="preserve">בידי </w:t>
      </w:r>
      <w:r w:rsidRPr="00F6427E">
        <w:rPr>
          <w:rtl/>
        </w:rPr>
        <w:t xml:space="preserve">גופים מונופוליים פרטיים. היו שראו בשמירה על התחרות החופשית כמנגנון הכרעה דמוקרטי בקבלת החלטות חברתיות בתחום הכלכלי, כאשר שמירת כוחו של הצרכן להכריע בין אלטרנטיבות כלכליות מקנה לו, למעשה, כוח להשפיע ולהכריע גם בהכרעות כלכליות כלליות של החברה (ראה </w:t>
      </w:r>
      <w:r w:rsidRPr="00F6427E">
        <w:t xml:space="preserve">K.J. Arrow </w:t>
      </w:r>
      <w:r w:rsidRPr="0097603B">
        <w:rPr>
          <w:i/>
          <w:iCs/>
        </w:rPr>
        <w:t>Social Choice and Individual Values</w:t>
      </w:r>
      <w:r w:rsidR="0097603B">
        <w:t xml:space="preserve">, </w:t>
      </w:r>
      <w:r w:rsidR="0097603B" w:rsidRPr="0097603B">
        <w:rPr>
          <w:i/>
          <w:iCs/>
        </w:rPr>
        <w:t xml:space="preserve">at </w:t>
      </w:r>
      <w:r w:rsidR="008514F4">
        <w:rPr>
          <w:i/>
          <w:iCs/>
        </w:rPr>
        <w:t>p</w:t>
      </w:r>
      <w:r w:rsidR="0097603B" w:rsidRPr="0097603B">
        <w:rPr>
          <w:i/>
          <w:iCs/>
        </w:rPr>
        <w:t>p.</w:t>
      </w:r>
      <w:r w:rsidRPr="0097603B">
        <w:rPr>
          <w:i/>
          <w:iCs/>
        </w:rPr>
        <w:t xml:space="preserve"> 1-2</w:t>
      </w:r>
      <w:r w:rsidRPr="00F6427E">
        <w:rPr>
          <w:rtl/>
        </w:rPr>
        <w:t>). ההגנה על התחרות החופשית עומדת גם ביסוד ההגנה על זכויות יסוד אחרות. כך, לדוגמ</w:t>
      </w:r>
      <w:r w:rsidR="0097603B">
        <w:rPr>
          <w:rFonts w:hint="cs"/>
          <w:rtl/>
        </w:rPr>
        <w:t>ה</w:t>
      </w:r>
      <w:r w:rsidRPr="00F6427E">
        <w:rPr>
          <w:rtl/>
        </w:rPr>
        <w:t xml:space="preserve">, אין לנתק בין חופש התחרות לבין חופש העיסוק (ראה </w:t>
      </w:r>
      <w:hyperlink r:id="rId126" w:history="1">
        <w:r w:rsidR="004C5B7C" w:rsidRPr="004C5B7C">
          <w:rPr>
            <w:rStyle w:val="Hyperlink"/>
            <w:rFonts w:cs="Miriam"/>
            <w:szCs w:val="19"/>
            <w:rtl/>
          </w:rPr>
          <w:t>בג"ץ 3544/94</w:t>
        </w:r>
      </w:hyperlink>
      <w:r w:rsidRPr="0097603B">
        <w:rPr>
          <w:rFonts w:cs="Miriam"/>
          <w:szCs w:val="19"/>
          <w:rtl/>
        </w:rPr>
        <w:t xml:space="preserve"> שחף נתיבי אוויר בע"מ נ' שר התחבורה</w:t>
      </w:r>
      <w:r w:rsidR="008514F4">
        <w:rPr>
          <w:rFonts w:cs="Miriam" w:hint="cs"/>
          <w:szCs w:val="19"/>
          <w:rtl/>
        </w:rPr>
        <w:t xml:space="preserve"> </w:t>
      </w:r>
      <w:r w:rsidR="008514F4" w:rsidRPr="008514F4">
        <w:rPr>
          <w:rFonts w:cs="Miriam" w:hint="cs"/>
          <w:szCs w:val="19"/>
          <w:rtl/>
        </w:rPr>
        <w:t>ואח'</w:t>
      </w:r>
      <w:r w:rsidRPr="00F6427E">
        <w:rPr>
          <w:rtl/>
        </w:rPr>
        <w:t>). קיומו של מונופולין או היעדר זכות שווה לעסוק, פוגע</w:t>
      </w:r>
      <w:r w:rsidR="0097603B">
        <w:rPr>
          <w:rFonts w:hint="cs"/>
          <w:rtl/>
        </w:rPr>
        <w:t>ת</w:t>
      </w:r>
      <w:r w:rsidRPr="00F6427E">
        <w:rPr>
          <w:rtl/>
        </w:rPr>
        <w:t xml:space="preserve"> בחופש העיסוק (ראה: מ</w:t>
      </w:r>
      <w:r w:rsidR="0097603B">
        <w:rPr>
          <w:rFonts w:hint="cs"/>
          <w:rtl/>
        </w:rPr>
        <w:t>'</w:t>
      </w:r>
      <w:r w:rsidRPr="00F6427E">
        <w:rPr>
          <w:rtl/>
        </w:rPr>
        <w:t xml:space="preserve"> </w:t>
      </w:r>
      <w:hyperlink r:id="rId127" w:history="1">
        <w:r w:rsidR="00AD4D63" w:rsidRPr="00AD4D63">
          <w:rPr>
            <w:rStyle w:val="Hyperlink"/>
            <w:rtl/>
          </w:rPr>
          <w:t xml:space="preserve">גולדברג "חופש העיסוק: מזכות יסוד </w:t>
        </w:r>
      </w:hyperlink>
      <w:r w:rsidR="004C5B7C" w:rsidRPr="00AD4D63">
        <w:rPr>
          <w:color w:val="000000"/>
          <w:rtl/>
        </w:rPr>
        <w:t xml:space="preserve"> לחוק יסוד",</w:t>
      </w:r>
      <w:r w:rsidR="0097603B">
        <w:rPr>
          <w:rFonts w:hint="cs"/>
          <w:rtl/>
        </w:rPr>
        <w:t xml:space="preserve"> </w:t>
      </w:r>
      <w:r w:rsidR="0097603B">
        <w:rPr>
          <w:rFonts w:cs="Miriam" w:hint="cs"/>
          <w:szCs w:val="19"/>
          <w:rtl/>
        </w:rPr>
        <w:t>בעמ' 305-304</w:t>
      </w:r>
      <w:r w:rsidRPr="00F6427E">
        <w:rPr>
          <w:rtl/>
        </w:rPr>
        <w:t xml:space="preserve">; </w:t>
      </w:r>
      <w:hyperlink r:id="rId128" w:history="1">
        <w:r w:rsidR="004C5B7C" w:rsidRPr="00AD4D63">
          <w:rPr>
            <w:rStyle w:val="Hyperlink"/>
            <w:rFonts w:cs="Miriam"/>
            <w:szCs w:val="19"/>
            <w:rtl/>
          </w:rPr>
          <w:t>בג"ץ 726/94</w:t>
        </w:r>
      </w:hyperlink>
      <w:r w:rsidR="0097603B" w:rsidRPr="0097603B">
        <w:rPr>
          <w:rFonts w:cs="Miriam" w:hint="cs"/>
          <w:szCs w:val="19"/>
          <w:rtl/>
        </w:rPr>
        <w:t>, 878</w:t>
      </w:r>
      <w:r w:rsidRPr="0097603B">
        <w:rPr>
          <w:rFonts w:cs="Miriam"/>
          <w:szCs w:val="19"/>
          <w:rtl/>
        </w:rPr>
        <w:t xml:space="preserve"> כלל חברה לביטוח</w:t>
      </w:r>
      <w:r w:rsidR="0097603B" w:rsidRPr="0097603B">
        <w:rPr>
          <w:rFonts w:cs="Miriam" w:hint="cs"/>
          <w:szCs w:val="19"/>
          <w:rtl/>
        </w:rPr>
        <w:t xml:space="preserve"> בע"מ ואח'</w:t>
      </w:r>
      <w:r w:rsidRPr="0097603B">
        <w:rPr>
          <w:rFonts w:cs="Miriam"/>
          <w:szCs w:val="19"/>
          <w:rtl/>
        </w:rPr>
        <w:t xml:space="preserve"> נ' שר האוצר</w:t>
      </w:r>
      <w:r w:rsidR="008514F4">
        <w:rPr>
          <w:rFonts w:hint="cs"/>
          <w:rtl/>
        </w:rPr>
        <w:t xml:space="preserve"> </w:t>
      </w:r>
      <w:r w:rsidR="008514F4" w:rsidRPr="008514F4">
        <w:rPr>
          <w:rFonts w:cs="Miriam" w:hint="cs"/>
          <w:szCs w:val="19"/>
          <w:rtl/>
        </w:rPr>
        <w:t>ואח'</w:t>
      </w:r>
      <w:r w:rsidRPr="00F6427E">
        <w:rPr>
          <w:rtl/>
        </w:rPr>
        <w:t xml:space="preserve">, </w:t>
      </w:r>
      <w:r w:rsidR="0097603B" w:rsidRPr="0097603B">
        <w:rPr>
          <w:rFonts w:cs="Miriam" w:hint="cs"/>
          <w:szCs w:val="19"/>
          <w:rtl/>
        </w:rPr>
        <w:t>בעמ'</w:t>
      </w:r>
      <w:r w:rsidRPr="0097603B">
        <w:rPr>
          <w:rFonts w:cs="Miriam" w:hint="cs"/>
          <w:szCs w:val="19"/>
          <w:rtl/>
        </w:rPr>
        <w:t xml:space="preserve"> 471</w:t>
      </w:r>
      <w:r>
        <w:rPr>
          <w:rFonts w:hint="cs"/>
          <w:rtl/>
        </w:rPr>
        <w:t>).</w:t>
      </w:r>
      <w:r w:rsidRPr="00F6427E">
        <w:rPr>
          <w:rtl/>
        </w:rPr>
        <w:t xml:space="preserve"> כך, מצב </w:t>
      </w:r>
      <w:r w:rsidR="0097603B">
        <w:rPr>
          <w:rFonts w:hint="cs"/>
          <w:rtl/>
        </w:rPr>
        <w:t>ש</w:t>
      </w:r>
      <w:r w:rsidRPr="00F6427E">
        <w:rPr>
          <w:rtl/>
        </w:rPr>
        <w:t xml:space="preserve">בו שוק מסוים נשלט </w:t>
      </w:r>
      <w:r w:rsidR="0097603B" w:rsidRPr="00F6427E">
        <w:rPr>
          <w:rtl/>
        </w:rPr>
        <w:t>על</w:t>
      </w:r>
      <w:r w:rsidR="0097603B" w:rsidRPr="0097603B">
        <w:rPr>
          <w:position w:val="4"/>
          <w:rtl/>
        </w:rPr>
        <w:t>-</w:t>
      </w:r>
      <w:r w:rsidRPr="00F6427E">
        <w:rPr>
          <w:rtl/>
        </w:rPr>
        <w:t>ידי יצרן בודד יכול למנוע לעתים את יכולתו של פרט אחר להיכנס בשעריו של העיסוק האמור</w:t>
      </w:r>
      <w:r>
        <w:rPr>
          <w:rFonts w:hint="cs"/>
          <w:rtl/>
        </w:rPr>
        <w:t>"</w:t>
      </w:r>
      <w:r w:rsidRPr="00F6427E">
        <w:rPr>
          <w:rtl/>
        </w:rPr>
        <w:t>.</w:t>
      </w:r>
    </w:p>
    <w:p w:rsidR="006A180F" w:rsidRDefault="006A180F" w:rsidP="006A180F">
      <w:pPr>
        <w:pStyle w:val="a"/>
        <w:rPr>
          <w:rFonts w:hint="cs"/>
          <w:rtl/>
        </w:rPr>
      </w:pPr>
      <w:r>
        <w:rPr>
          <w:rFonts w:hint="cs"/>
          <w:sz w:val="28"/>
          <w:rtl/>
        </w:rPr>
        <w:t>14.</w:t>
      </w:r>
      <w:r>
        <w:rPr>
          <w:rFonts w:hint="cs"/>
          <w:sz w:val="28"/>
          <w:rtl/>
        </w:rPr>
        <w:tab/>
      </w:r>
      <w:r w:rsidRPr="00AE4DA6">
        <w:rPr>
          <w:rFonts w:hint="cs"/>
          <w:rtl/>
        </w:rPr>
        <w:t xml:space="preserve">שתי הגדרות קבע המחוקק למונח הסדר כובל, והן דרות זו לצד זו </w:t>
      </w:r>
      <w:hyperlink r:id="rId129" w:history="1">
        <w:r w:rsidR="0025156A" w:rsidRPr="0025156A">
          <w:rPr>
            <w:color w:val="0000FF"/>
            <w:u w:val="single"/>
            <w:rtl/>
          </w:rPr>
          <w:t>בסעיף 2</w:t>
        </w:r>
      </w:hyperlink>
      <w:r w:rsidRPr="00AE4DA6">
        <w:rPr>
          <w:rFonts w:hint="cs"/>
          <w:rtl/>
        </w:rPr>
        <w:t xml:space="preserve"> לחוק ההגבלים, שזו לשונו:</w:t>
      </w:r>
      <w:r w:rsidRPr="00AE4DA6">
        <w:rPr>
          <w:rtl/>
        </w:rPr>
        <w:t xml:space="preserve"> </w:t>
      </w:r>
    </w:p>
    <w:tbl>
      <w:tblPr>
        <w:bidiVisual/>
        <w:tblW w:w="0" w:type="auto"/>
        <w:tblInd w:w="392" w:type="dxa"/>
        <w:tblLayout w:type="fixed"/>
        <w:tblLook w:val="01E0" w:firstRow="1" w:lastRow="1" w:firstColumn="1" w:lastColumn="1" w:noHBand="0" w:noVBand="0"/>
      </w:tblPr>
      <w:tblGrid>
        <w:gridCol w:w="1190"/>
        <w:gridCol w:w="5091"/>
      </w:tblGrid>
      <w:tr w:rsidR="00A4351A" w:rsidRPr="00323734">
        <w:tc>
          <w:tcPr>
            <w:tcW w:w="1190" w:type="dxa"/>
          </w:tcPr>
          <w:p w:rsidR="00A4351A" w:rsidRPr="00F17502" w:rsidRDefault="00A4351A" w:rsidP="00323734">
            <w:pPr>
              <w:pStyle w:val="a4"/>
              <w:spacing w:before="40" w:after="0" w:line="220" w:lineRule="exact"/>
              <w:ind w:left="0" w:right="34"/>
              <w:rPr>
                <w:rStyle w:val="default"/>
                <w:rFonts w:hint="cs"/>
                <w:rtl/>
              </w:rPr>
            </w:pPr>
            <w:r w:rsidRPr="00323734">
              <w:rPr>
                <w:rStyle w:val="default"/>
                <w:rFonts w:cs="FrankRuehl" w:hint="cs"/>
                <w:sz w:val="20"/>
                <w:szCs w:val="24"/>
                <w:rtl/>
              </w:rPr>
              <w:t>"</w:t>
            </w:r>
            <w:r w:rsidRPr="00323734">
              <w:rPr>
                <w:rStyle w:val="default"/>
                <w:rFonts w:cs="FrankRuehl" w:hint="cs"/>
                <w:sz w:val="18"/>
                <w:szCs w:val="22"/>
                <w:rtl/>
              </w:rPr>
              <w:t>הסדר</w:t>
            </w:r>
            <w:r w:rsidRPr="00323734">
              <w:rPr>
                <w:rStyle w:val="default"/>
                <w:rFonts w:cs="FrankRuehl" w:hint="eastAsia"/>
                <w:sz w:val="18"/>
                <w:szCs w:val="22"/>
                <w:rtl/>
              </w:rPr>
              <w:t> </w:t>
            </w:r>
            <w:r w:rsidRPr="00323734">
              <w:rPr>
                <w:rStyle w:val="default"/>
                <w:rFonts w:cs="FrankRuehl" w:hint="cs"/>
                <w:sz w:val="18"/>
                <w:szCs w:val="22"/>
                <w:rtl/>
              </w:rPr>
              <w:t>כובל</w:t>
            </w:r>
            <w:r w:rsidRPr="00323734">
              <w:rPr>
                <w:rStyle w:val="default"/>
                <w:rFonts w:hint="cs"/>
                <w:sz w:val="16"/>
                <w:szCs w:val="20"/>
                <w:rtl/>
              </w:rPr>
              <w:t xml:space="preserve"> </w:t>
            </w:r>
            <w:r w:rsidRPr="00323734">
              <w:rPr>
                <w:rStyle w:val="default"/>
                <w:rFonts w:hint="eastAsia"/>
                <w:sz w:val="16"/>
                <w:szCs w:val="20"/>
                <w:rtl/>
              </w:rPr>
              <w:t>  </w:t>
            </w:r>
          </w:p>
        </w:tc>
        <w:tc>
          <w:tcPr>
            <w:tcW w:w="5091" w:type="dxa"/>
          </w:tcPr>
          <w:p w:rsidR="00A4351A" w:rsidRPr="00F17502" w:rsidRDefault="00A4351A" w:rsidP="00323734">
            <w:pPr>
              <w:pStyle w:val="a4"/>
              <w:spacing w:after="120"/>
              <w:ind w:left="544" w:hanging="544"/>
              <w:rPr>
                <w:rStyle w:val="default"/>
                <w:rFonts w:hint="cs"/>
                <w:rtl/>
              </w:rPr>
            </w:pPr>
            <w:r>
              <w:rPr>
                <w:rFonts w:hint="cs"/>
                <w:rtl/>
              </w:rPr>
              <w:t xml:space="preserve">2. </w:t>
            </w:r>
            <w:r w:rsidRPr="00EF197E">
              <w:rPr>
                <w:rtl/>
              </w:rPr>
              <w:t xml:space="preserve">(א)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 </w:t>
            </w:r>
          </w:p>
        </w:tc>
      </w:tr>
    </w:tbl>
    <w:p w:rsidR="00A4351A" w:rsidRPr="00EF197E" w:rsidRDefault="00A4351A" w:rsidP="00A4351A">
      <w:pPr>
        <w:pStyle w:val="a4"/>
        <w:spacing w:after="120"/>
        <w:ind w:left="2098" w:hanging="340"/>
        <w:rPr>
          <w:rFonts w:hint="cs"/>
          <w:rtl/>
        </w:rPr>
      </w:pPr>
      <w:r w:rsidRPr="00EF197E">
        <w:rPr>
          <w:rtl/>
        </w:rPr>
        <w:t>(ב)</w:t>
      </w:r>
      <w:r>
        <w:rPr>
          <w:rFonts w:hint="cs"/>
          <w:rtl/>
        </w:rPr>
        <w:tab/>
      </w:r>
      <w:r w:rsidRPr="00EF197E">
        <w:rPr>
          <w:rtl/>
        </w:rPr>
        <w:t xml:space="preserve">מבלי לגרוע מכלליות האמור בסעיף קטן (א) יראו כהסדר כובל הסדר שבו הכבילה נוגעת לאחד העניינים הבאים: </w:t>
      </w:r>
    </w:p>
    <w:p w:rsidR="00A4351A" w:rsidRPr="00EF197E" w:rsidRDefault="00CD5C20" w:rsidP="00A4351A">
      <w:pPr>
        <w:pStyle w:val="a4"/>
        <w:spacing w:after="120"/>
        <w:ind w:left="2552" w:hanging="426"/>
        <w:rPr>
          <w:rFonts w:hint="cs"/>
          <w:rtl/>
        </w:rPr>
      </w:pPr>
      <w:r>
        <w:rPr>
          <w:rtl/>
        </w:rPr>
        <w:br w:type="page"/>
      </w:r>
      <w:r w:rsidR="00A4351A" w:rsidRPr="00EF197E">
        <w:rPr>
          <w:rtl/>
        </w:rPr>
        <w:t>(1)</w:t>
      </w:r>
      <w:r w:rsidR="00A4351A">
        <w:rPr>
          <w:rFonts w:hint="cs"/>
          <w:rtl/>
        </w:rPr>
        <w:tab/>
      </w:r>
      <w:r w:rsidR="00A4351A" w:rsidRPr="00EF197E">
        <w:rPr>
          <w:rtl/>
        </w:rPr>
        <w:t xml:space="preserve">המחיר שיידרש, שיוצע או שישולם; </w:t>
      </w:r>
    </w:p>
    <w:p w:rsidR="00A4351A" w:rsidRPr="00EF197E" w:rsidRDefault="00A4351A" w:rsidP="00A4351A">
      <w:pPr>
        <w:pStyle w:val="a4"/>
        <w:spacing w:after="120"/>
        <w:ind w:left="2552" w:hanging="426"/>
        <w:rPr>
          <w:rFonts w:hint="cs"/>
          <w:rtl/>
        </w:rPr>
      </w:pPr>
      <w:r w:rsidRPr="00EF197E">
        <w:rPr>
          <w:rtl/>
        </w:rPr>
        <w:t>(2)</w:t>
      </w:r>
      <w:r>
        <w:rPr>
          <w:rFonts w:hint="cs"/>
          <w:rtl/>
        </w:rPr>
        <w:tab/>
      </w:r>
      <w:r w:rsidRPr="00EF197E">
        <w:rPr>
          <w:rtl/>
        </w:rPr>
        <w:t xml:space="preserve">הריווח שיופק; </w:t>
      </w:r>
    </w:p>
    <w:p w:rsidR="00A4351A" w:rsidRPr="00EF197E" w:rsidRDefault="00A4351A" w:rsidP="00A4351A">
      <w:pPr>
        <w:pStyle w:val="a4"/>
        <w:spacing w:after="120"/>
        <w:ind w:left="2552" w:hanging="426"/>
        <w:rPr>
          <w:rFonts w:hint="cs"/>
          <w:rtl/>
        </w:rPr>
      </w:pPr>
      <w:r w:rsidRPr="00EF197E">
        <w:rPr>
          <w:rtl/>
        </w:rPr>
        <w:t>(3)</w:t>
      </w:r>
      <w:r>
        <w:rPr>
          <w:rFonts w:hint="cs"/>
          <w:rtl/>
        </w:rPr>
        <w:tab/>
      </w:r>
      <w:r w:rsidRPr="00EF197E">
        <w:rPr>
          <w:rtl/>
        </w:rPr>
        <w:t xml:space="preserve">חלוקת השוק, כולו או חלקו, לפי מקום העיסוק או לפי האנשים או סוג האנשים שעמם יעסקו; </w:t>
      </w:r>
    </w:p>
    <w:p w:rsidR="00A4351A" w:rsidRPr="00AE4DA6" w:rsidRDefault="00A4351A" w:rsidP="00A4351A">
      <w:pPr>
        <w:pStyle w:val="a4"/>
        <w:ind w:left="2552" w:hanging="426"/>
        <w:rPr>
          <w:rFonts w:hint="cs"/>
          <w:rtl/>
        </w:rPr>
      </w:pPr>
      <w:r w:rsidRPr="00EF197E">
        <w:rPr>
          <w:rtl/>
        </w:rPr>
        <w:t>(4)</w:t>
      </w:r>
      <w:r>
        <w:rPr>
          <w:rFonts w:hint="cs"/>
          <w:rtl/>
        </w:rPr>
        <w:tab/>
      </w:r>
      <w:r w:rsidRPr="00EF197E">
        <w:rPr>
          <w:rtl/>
        </w:rPr>
        <w:t>כמות הנכסים או השירותים שבעסק, איכותם או סוגם</w:t>
      </w:r>
      <w:r>
        <w:rPr>
          <w:rFonts w:hint="cs"/>
          <w:rtl/>
        </w:rPr>
        <w:t>".</w:t>
      </w:r>
    </w:p>
    <w:p w:rsidR="006A180F" w:rsidRDefault="006A180F" w:rsidP="001867CF">
      <w:pPr>
        <w:pStyle w:val="a"/>
        <w:rPr>
          <w:rFonts w:hint="cs"/>
          <w:rtl/>
        </w:rPr>
      </w:pPr>
      <w:r>
        <w:rPr>
          <w:rFonts w:hint="cs"/>
          <w:rtl/>
        </w:rPr>
        <w:t xml:space="preserve">עיון </w:t>
      </w:r>
      <w:hyperlink r:id="rId130" w:history="1">
        <w:r w:rsidR="0025156A" w:rsidRPr="0025156A">
          <w:rPr>
            <w:color w:val="0000FF"/>
            <w:u w:val="single"/>
            <w:rtl/>
          </w:rPr>
          <w:t>בסעיף 2</w:t>
        </w:r>
      </w:hyperlink>
      <w:r>
        <w:rPr>
          <w:rFonts w:hint="cs"/>
          <w:rtl/>
        </w:rPr>
        <w:t xml:space="preserve"> מעלה כי ההגדרה האחת, זו המצויה בחלקו הראשון של הסעיף, קובעת ארבעה יסודות מצטברים (ראו: </w:t>
      </w:r>
      <w:hyperlink r:id="rId131" w:history="1">
        <w:r w:rsidR="004C5B7C" w:rsidRPr="00AD4D63">
          <w:rPr>
            <w:rStyle w:val="Hyperlink"/>
            <w:rFonts w:cs="Miriam" w:hint="eastAsia"/>
            <w:szCs w:val="19"/>
            <w:rtl/>
          </w:rPr>
          <w:t>דנ</w:t>
        </w:r>
        <w:r w:rsidR="004C5B7C" w:rsidRPr="00AD4D63">
          <w:rPr>
            <w:rStyle w:val="Hyperlink"/>
            <w:rFonts w:cs="Miriam"/>
            <w:szCs w:val="19"/>
            <w:rtl/>
          </w:rPr>
          <w:t>"א 4465/98</w:t>
        </w:r>
      </w:hyperlink>
      <w:r w:rsidRPr="00A4351A">
        <w:rPr>
          <w:rFonts w:cs="Miriam" w:hint="cs"/>
          <w:szCs w:val="19"/>
          <w:rtl/>
        </w:rPr>
        <w:t xml:space="preserve"> </w:t>
      </w:r>
      <w:r w:rsidR="00A4351A" w:rsidRPr="00A4351A">
        <w:rPr>
          <w:rFonts w:cs="Miriam"/>
          <w:szCs w:val="19"/>
          <w:rtl/>
        </w:rPr>
        <w:t>טבעול (1993) בע"מ נ' שף</w:t>
      </w:r>
      <w:r w:rsidR="00A4351A" w:rsidRPr="00D802CA">
        <w:rPr>
          <w:rFonts w:cs="Miriam"/>
          <w:position w:val="4"/>
          <w:szCs w:val="19"/>
          <w:rtl/>
        </w:rPr>
        <w:t>-</w:t>
      </w:r>
      <w:r w:rsidR="00A4351A" w:rsidRPr="00A4351A">
        <w:rPr>
          <w:rFonts w:cs="Miriam"/>
          <w:szCs w:val="19"/>
          <w:rtl/>
        </w:rPr>
        <w:t>הים (1994) בע"מ</w:t>
      </w:r>
      <w:r w:rsidR="00A4351A">
        <w:rPr>
          <w:rFonts w:cs="Miriam" w:hint="cs"/>
          <w:sz w:val="24"/>
          <w:rtl/>
        </w:rPr>
        <w:t xml:space="preserve"> </w:t>
      </w:r>
      <w:r w:rsidR="00A4351A">
        <w:rPr>
          <w:rFonts w:hint="cs"/>
          <w:rtl/>
        </w:rPr>
        <w:t xml:space="preserve">(להלן – פרשת </w:t>
      </w:r>
      <w:r w:rsidR="00A4351A" w:rsidRPr="00A4351A">
        <w:rPr>
          <w:rFonts w:cs="Miriam" w:hint="cs"/>
          <w:szCs w:val="19"/>
          <w:rtl/>
        </w:rPr>
        <w:t>טבעול</w:t>
      </w:r>
      <w:r w:rsidR="00A4351A">
        <w:rPr>
          <w:rFonts w:hint="cs"/>
          <w:rtl/>
        </w:rPr>
        <w:t xml:space="preserve"> </w:t>
      </w:r>
      <w:r w:rsidR="00A4351A" w:rsidRPr="00A4351A">
        <w:rPr>
          <w:rFonts w:cs="Miriam" w:hint="cs"/>
          <w:szCs w:val="19"/>
          <w:rtl/>
        </w:rPr>
        <w:t>[3]</w:t>
      </w:r>
      <w:r w:rsidR="00A4351A">
        <w:rPr>
          <w:rFonts w:hint="cs"/>
          <w:rtl/>
        </w:rPr>
        <w:t>)</w:t>
      </w:r>
      <w:r>
        <w:rPr>
          <w:rFonts w:hint="cs"/>
          <w:rtl/>
        </w:rPr>
        <w:t>,</w:t>
      </w:r>
      <w:r w:rsidR="00A4351A">
        <w:rPr>
          <w:rFonts w:hint="cs"/>
          <w:rtl/>
        </w:rPr>
        <w:t xml:space="preserve"> </w:t>
      </w:r>
      <w:r w:rsidR="00A4351A">
        <w:rPr>
          <w:rFonts w:cs="Miriam" w:hint="cs"/>
          <w:szCs w:val="19"/>
          <w:rtl/>
        </w:rPr>
        <w:t>בעמ'</w:t>
      </w:r>
      <w:r w:rsidRPr="00A4351A">
        <w:rPr>
          <w:rFonts w:cs="Miriam" w:hint="cs"/>
          <w:szCs w:val="19"/>
          <w:rtl/>
        </w:rPr>
        <w:t xml:space="preserve"> 96</w:t>
      </w:r>
      <w:r>
        <w:rPr>
          <w:rFonts w:hint="cs"/>
          <w:rtl/>
        </w:rPr>
        <w:t xml:space="preserve"> וכן </w:t>
      </w:r>
      <w:r w:rsidRPr="00A4351A">
        <w:rPr>
          <w:rFonts w:hint="cs"/>
          <w:rtl/>
        </w:rPr>
        <w:t>יגור</w:t>
      </w:r>
      <w:r w:rsidR="00A4351A">
        <w:rPr>
          <w:rFonts w:hint="cs"/>
          <w:rtl/>
        </w:rPr>
        <w:t xml:space="preserve"> </w:t>
      </w:r>
      <w:r w:rsidR="00A4351A">
        <w:rPr>
          <w:rFonts w:cs="Miriam" w:hint="cs"/>
          <w:szCs w:val="19"/>
          <w:rtl/>
        </w:rPr>
        <w:t>[</w:t>
      </w:r>
      <w:r w:rsidR="00BA5973">
        <w:rPr>
          <w:rFonts w:cs="Miriam" w:hint="cs"/>
          <w:szCs w:val="19"/>
          <w:rtl/>
        </w:rPr>
        <w:t>27</w:t>
      </w:r>
      <w:r w:rsidR="00A4351A">
        <w:rPr>
          <w:rFonts w:cs="Miriam" w:hint="cs"/>
          <w:szCs w:val="19"/>
          <w:rtl/>
        </w:rPr>
        <w:t>]</w:t>
      </w:r>
      <w:r>
        <w:rPr>
          <w:rFonts w:hint="cs"/>
          <w:rtl/>
        </w:rPr>
        <w:t>,</w:t>
      </w:r>
      <w:r w:rsidR="00A4351A">
        <w:rPr>
          <w:rFonts w:hint="cs"/>
          <w:rtl/>
        </w:rPr>
        <w:t xml:space="preserve"> </w:t>
      </w:r>
      <w:r w:rsidR="00A4351A">
        <w:rPr>
          <w:rFonts w:cs="Miriam" w:hint="cs"/>
          <w:szCs w:val="19"/>
          <w:rtl/>
        </w:rPr>
        <w:t>בעמ'</w:t>
      </w:r>
      <w:r w:rsidRPr="00A4351A">
        <w:rPr>
          <w:rFonts w:cs="Miriam" w:hint="cs"/>
          <w:szCs w:val="19"/>
          <w:rtl/>
        </w:rPr>
        <w:t xml:space="preserve"> 151-145</w:t>
      </w:r>
      <w:r>
        <w:rPr>
          <w:rFonts w:hint="cs"/>
          <w:rtl/>
        </w:rPr>
        <w:t xml:space="preserve">), ואלה הם: (1) קיומו של הסדר </w:t>
      </w:r>
      <w:r w:rsidR="001867CF">
        <w:rPr>
          <w:rFonts w:hint="eastAsia"/>
          <w:rtl/>
        </w:rPr>
        <w:t>–</w:t>
      </w:r>
      <w:r>
        <w:rPr>
          <w:rFonts w:hint="cs"/>
          <w:rtl/>
        </w:rPr>
        <w:t xml:space="preserve"> לאור הגדרתו המרחיבה של יסוד זה בסעיף ההגדרות של חוק ההגבלים, הרי שדרישה זו עניינה בהסכמה בין שני צדדים או יותר, הסכמה שעשויה להתקבל הן בכתב והן על פה, בין במפורש ובין מכללא; (2) היסוד השני עוסק בזהותם של הצדדים להסדר, קרי בני אדם המנהלים עסקים; (3) יסוד ההגבלה, שלפיו ההסדר מגביל את פעילותו של אחד הצדדים לו, או יותר; (4) אחרון הוא יסוד הפוטנציאל לפגיעה בתחרות. ודוק: דרישה זו אינה מחדירה לעבירת ההסדר הכובל דרישה לאלמנט </w:t>
      </w:r>
      <w:r w:rsidRPr="001867CF">
        <w:rPr>
          <w:rFonts w:cs="Miriam" w:hint="cs"/>
          <w:szCs w:val="19"/>
          <w:rtl/>
        </w:rPr>
        <w:t>תוצאתי</w:t>
      </w:r>
      <w:r w:rsidRPr="001867CF">
        <w:rPr>
          <w:rFonts w:hint="cs"/>
          <w:rtl/>
        </w:rPr>
        <w:t xml:space="preserve"> </w:t>
      </w:r>
      <w:r>
        <w:rPr>
          <w:rFonts w:hint="cs"/>
          <w:rtl/>
        </w:rPr>
        <w:t xml:space="preserve">של פגיעה בפועל בתחרות, כי אם דרישה למעשה </w:t>
      </w:r>
      <w:r w:rsidRPr="001867CF">
        <w:rPr>
          <w:rFonts w:cs="Miriam" w:hint="cs"/>
          <w:szCs w:val="19"/>
          <w:rtl/>
        </w:rPr>
        <w:t>שעלול</w:t>
      </w:r>
      <w:r>
        <w:rPr>
          <w:rFonts w:hint="cs"/>
          <w:rtl/>
        </w:rPr>
        <w:t xml:space="preserve">, מבחינת הפוטנציאל הטמון בו, להביא לפגיעה כזו. </w:t>
      </w:r>
    </w:p>
    <w:p w:rsidR="006A180F" w:rsidRDefault="006A180F" w:rsidP="006A180F">
      <w:pPr>
        <w:pStyle w:val="a"/>
        <w:rPr>
          <w:rFonts w:hint="cs"/>
          <w:rtl/>
        </w:rPr>
      </w:pPr>
      <w:r>
        <w:rPr>
          <w:rFonts w:hint="cs"/>
          <w:rtl/>
        </w:rPr>
        <w:t>15.</w:t>
      </w:r>
      <w:r>
        <w:rPr>
          <w:rFonts w:hint="cs"/>
          <w:rtl/>
        </w:rPr>
        <w:tab/>
        <w:t>במקרה שלפנינו אין כל ספק כי שני התנאים הראשונים, היינו קיומו של הסדר בין שני עוסקים, התקיימו. לדעתי גם לא יכול להיות ספק כי בהסכם הבוררות שבין אריאל למנורה התקיימה דרישת ההגבלה. בין שנפרש את ההתחייבות שאריאל נטלה על עצמה במסגרת הסכם זה כהתחייבות להימנע מנקיטתם של הליכים משפטיים, כפרשנותו של בית משפט קמא, ובין שנפרש זאת כהתחייבות להימנע מהתקשרות עם עיריית חיפה, כלשונו של הסכם הבוררות, לא יכול להיות כל ספק כי ההסכם הצר את חופש הפעולה של אריאל והגביל את יכולת התחרות שלה. עיקר הדיון בבית משפט קמא התמקד ביסוד הפוטנציאל לפגיעה בתחרות, אולם כפי שנראה בהמשך, בדיון כזה אין כל צורך בענייננו.</w:t>
      </w:r>
    </w:p>
    <w:p w:rsidR="00D35634" w:rsidRDefault="006A180F" w:rsidP="00D802CA">
      <w:pPr>
        <w:pStyle w:val="a"/>
        <w:rPr>
          <w:rFonts w:cs="Miriam"/>
          <w:szCs w:val="19"/>
          <w:rtl/>
        </w:rPr>
      </w:pPr>
      <w:r>
        <w:rPr>
          <w:rFonts w:hint="cs"/>
          <w:rtl/>
        </w:rPr>
        <w:t>16.</w:t>
      </w:r>
      <w:r>
        <w:rPr>
          <w:rFonts w:hint="cs"/>
          <w:rtl/>
        </w:rPr>
        <w:tab/>
        <w:t xml:space="preserve">נפנה עתה להגדרתו של הסדר כובל </w:t>
      </w:r>
      <w:hyperlink r:id="rId132" w:history="1">
        <w:r w:rsidR="0025156A" w:rsidRPr="0025156A">
          <w:rPr>
            <w:color w:val="0000FF"/>
            <w:u w:val="single"/>
            <w:rtl/>
          </w:rPr>
          <w:t>בסעיף 2(ב)</w:t>
        </w:r>
      </w:hyperlink>
      <w:r>
        <w:rPr>
          <w:rFonts w:hint="cs"/>
          <w:rtl/>
        </w:rPr>
        <w:t xml:space="preserve"> ל</w:t>
      </w:r>
      <w:hyperlink r:id="rId133" w:history="1">
        <w:r w:rsidR="00A7624C" w:rsidRPr="00A7624C">
          <w:rPr>
            <w:rStyle w:val="Hyperlink"/>
            <w:rtl/>
          </w:rPr>
          <w:t>חוק ההגבלים העסקיים</w:t>
        </w:r>
      </w:hyperlink>
      <w:r>
        <w:rPr>
          <w:rFonts w:hint="cs"/>
          <w:rtl/>
        </w:rPr>
        <w:t xml:space="preserve">. סעיף זה מפרט ארבעה סוגי הסדרים קונקרטיים אשר בהתקיימותם מקימים הם חזקה בדבר פגיעה בתחרות, ולפיכך הם בבחינת התנהגות אסורה של כבילה. בפרשת </w:t>
      </w:r>
      <w:r w:rsidRPr="001867CF">
        <w:rPr>
          <w:rFonts w:cs="Miriam" w:hint="cs"/>
          <w:szCs w:val="19"/>
          <w:rtl/>
        </w:rPr>
        <w:t>טבעול</w:t>
      </w:r>
      <w:r w:rsidR="00010BA8">
        <w:rPr>
          <w:rFonts w:cs="Miriam" w:hint="cs"/>
          <w:szCs w:val="19"/>
          <w:rtl/>
        </w:rPr>
        <w:t xml:space="preserve"> </w:t>
      </w:r>
    </w:p>
    <w:p w:rsidR="006A180F" w:rsidRDefault="00D35634" w:rsidP="00D35634">
      <w:pPr>
        <w:pStyle w:val="a"/>
        <w:ind w:firstLine="0"/>
        <w:rPr>
          <w:rFonts w:hint="cs"/>
          <w:rtl/>
        </w:rPr>
      </w:pPr>
      <w:r>
        <w:rPr>
          <w:rFonts w:cs="Miriam"/>
          <w:szCs w:val="19"/>
          <w:rtl/>
        </w:rPr>
        <w:br w:type="page"/>
      </w:r>
      <w:r w:rsidR="00010BA8">
        <w:rPr>
          <w:rFonts w:cs="Miriam" w:hint="cs"/>
          <w:szCs w:val="19"/>
          <w:rtl/>
        </w:rPr>
        <w:t>[3]</w:t>
      </w:r>
      <w:r w:rsidR="006A180F">
        <w:rPr>
          <w:rFonts w:hint="cs"/>
          <w:rtl/>
        </w:rPr>
        <w:t xml:space="preserve"> פירש מותב מורחב של בית משפט זה חזקות אלה כחזקות חלוטות, הקובעות כלל של מהות ושאינן ניתנות לסתירה:</w:t>
      </w:r>
    </w:p>
    <w:p w:rsidR="006A180F" w:rsidRDefault="006A180F" w:rsidP="005D40E8">
      <w:pPr>
        <w:pStyle w:val="a4"/>
        <w:rPr>
          <w:rFonts w:hint="cs"/>
          <w:rtl/>
        </w:rPr>
      </w:pPr>
      <w:r>
        <w:rPr>
          <w:rFonts w:hint="cs"/>
          <w:rtl/>
        </w:rPr>
        <w:t>"השכל הישר וניסיון החיים יור</w:t>
      </w:r>
      <w:r w:rsidR="008514F4">
        <w:rPr>
          <w:rFonts w:hint="cs"/>
          <w:rtl/>
        </w:rPr>
        <w:t>ו</w:t>
      </w:r>
      <w:r>
        <w:rPr>
          <w:rFonts w:hint="cs"/>
          <w:rtl/>
        </w:rPr>
        <w:t>נו כי אלה הם הסדרים טיפוסיים שנועדו למנוע או להפחית תחרות בעסקים. לשון אחר, כל אותם 'עניינים' המוצגים בשורה עורפית בפ</w:t>
      </w:r>
      <w:r w:rsidR="001867CF">
        <w:rPr>
          <w:rFonts w:hint="cs"/>
          <w:rtl/>
        </w:rPr>
        <w:t>י</w:t>
      </w:r>
      <w:r>
        <w:rPr>
          <w:rFonts w:hint="cs"/>
          <w:rtl/>
        </w:rPr>
        <w:t>סקה (ב) לסעיף 2 לחוק, כולם נעשו מאותו חומר גנטי, והחומר הוא החומר הגנטי שעושה את פ</w:t>
      </w:r>
      <w:r w:rsidR="001867CF">
        <w:rPr>
          <w:rFonts w:hint="cs"/>
          <w:rtl/>
        </w:rPr>
        <w:t>י</w:t>
      </w:r>
      <w:r>
        <w:rPr>
          <w:rFonts w:hint="cs"/>
          <w:rtl/>
        </w:rPr>
        <w:t xml:space="preserve">סקה (א) לאותו סעיף 2. מניעת תחרות והפחתת תחרות בשוק הסחורות והשירותים הן הממלאות חיים את הוראות סעיף 2(ב) כולן: זו התכלית בהן, זו מטרתן, זה העיקר בהן" (פרשת </w:t>
      </w:r>
      <w:r w:rsidRPr="001867CF">
        <w:rPr>
          <w:rFonts w:cs="Miriam" w:hint="cs"/>
          <w:szCs w:val="19"/>
          <w:rtl/>
        </w:rPr>
        <w:t>טבעול</w:t>
      </w:r>
      <w:r w:rsidR="001867CF">
        <w:rPr>
          <w:rFonts w:cs="Miriam" w:hint="cs"/>
          <w:szCs w:val="19"/>
          <w:rtl/>
        </w:rPr>
        <w:t xml:space="preserve"> [3]</w:t>
      </w:r>
      <w:r w:rsidR="001867CF">
        <w:rPr>
          <w:rFonts w:hint="cs"/>
          <w:rtl/>
        </w:rPr>
        <w:t>,</w:t>
      </w:r>
      <w:r w:rsidRPr="001867CF">
        <w:rPr>
          <w:rFonts w:hint="cs"/>
          <w:rtl/>
        </w:rPr>
        <w:t xml:space="preserve"> </w:t>
      </w:r>
      <w:r w:rsidRPr="001867CF">
        <w:rPr>
          <w:rFonts w:cs="Miriam" w:hint="cs"/>
          <w:szCs w:val="19"/>
          <w:rtl/>
        </w:rPr>
        <w:t>בעמ' 97</w:t>
      </w:r>
      <w:r>
        <w:rPr>
          <w:rFonts w:hint="cs"/>
          <w:rtl/>
        </w:rPr>
        <w:t>).</w:t>
      </w:r>
    </w:p>
    <w:p w:rsidR="006A180F" w:rsidRDefault="006A180F" w:rsidP="00010BA8">
      <w:pPr>
        <w:pStyle w:val="a"/>
        <w:rPr>
          <w:rFonts w:hint="cs"/>
          <w:rtl/>
        </w:rPr>
      </w:pPr>
      <w:r>
        <w:rPr>
          <w:rFonts w:hint="cs"/>
          <w:rtl/>
        </w:rPr>
        <w:t xml:space="preserve">קרא, משנמצא כי הכבילה עניינה באחד מהנושאים המצויים בגדרו של </w:t>
      </w:r>
      <w:hyperlink r:id="rId134" w:history="1">
        <w:r w:rsidR="0025156A" w:rsidRPr="0025156A">
          <w:rPr>
            <w:color w:val="0000FF"/>
            <w:u w:val="single"/>
            <w:rtl/>
          </w:rPr>
          <w:t>סעיף 2(ב)</w:t>
        </w:r>
      </w:hyperlink>
      <w:r>
        <w:rPr>
          <w:rFonts w:hint="cs"/>
          <w:rtl/>
        </w:rPr>
        <w:t xml:space="preserve"> – למשל שעניינה בחלוקת השוק על ידי הצדדים להסדר </w:t>
      </w:r>
      <w:r>
        <w:rPr>
          <w:rFonts w:hint="eastAsia"/>
          <w:rtl/>
        </w:rPr>
        <w:t>–</w:t>
      </w:r>
      <w:r>
        <w:rPr>
          <w:rFonts w:hint="cs"/>
          <w:rtl/>
        </w:rPr>
        <w:t xml:space="preserve"> כי אז לא צריכה התביעה להוכיח כי בכבילה זו טמון פוטנציאל לפגיעה בתחרות. ההנחה היא כי להסדרים הנתפסים ברשתו של סעיף זה אין, ולא יכולה להיות, כל תכלית ראויה או הסבר לגיטימי לבד מהתכלית שעניינה פגיעה בתחרות. מכאן מתחייבת מסקנה נוספת והיא כי הסדר המצוי בגדרן של החזקות החלוטות </w:t>
      </w:r>
      <w:hyperlink r:id="rId135" w:history="1">
        <w:r w:rsidR="0025156A" w:rsidRPr="0025156A">
          <w:rPr>
            <w:color w:val="0000FF"/>
            <w:u w:val="single"/>
            <w:rtl/>
          </w:rPr>
          <w:t>בסעיף 2(ב)</w:t>
        </w:r>
      </w:hyperlink>
      <w:r>
        <w:rPr>
          <w:rFonts w:hint="cs"/>
          <w:rtl/>
        </w:rPr>
        <w:t xml:space="preserve"> לחוק, נכלל ממילא גם בגדרה של ההגדרה הכללית של "הסדר כובל" </w:t>
      </w:r>
      <w:hyperlink r:id="rId136" w:history="1">
        <w:r w:rsidR="0025156A" w:rsidRPr="0025156A">
          <w:rPr>
            <w:color w:val="0000FF"/>
            <w:u w:val="single"/>
            <w:rtl/>
          </w:rPr>
          <w:t>בסעיף 2(א)</w:t>
        </w:r>
      </w:hyperlink>
      <w:r>
        <w:rPr>
          <w:rFonts w:hint="cs"/>
          <w:rtl/>
        </w:rPr>
        <w:t xml:space="preserve">, אלא שאת יסודות ההגדרה </w:t>
      </w:r>
      <w:hyperlink r:id="rId137" w:history="1">
        <w:r w:rsidR="0025156A" w:rsidRPr="0025156A">
          <w:rPr>
            <w:color w:val="0000FF"/>
            <w:u w:val="single"/>
            <w:rtl/>
          </w:rPr>
          <w:t>בסעיף 2(א)</w:t>
        </w:r>
      </w:hyperlink>
      <w:r>
        <w:rPr>
          <w:rFonts w:hint="cs"/>
          <w:rtl/>
        </w:rPr>
        <w:t xml:space="preserve">, ובהם יסוד הפגיעה בתחרות, פטורה התביעה מלהוכיח. אכן, ניסיון החיים והשכל הישר מורים כי התועלת שצדדים להסדרים המנויים </w:t>
      </w:r>
      <w:hyperlink r:id="rId138" w:history="1">
        <w:r w:rsidR="0025156A" w:rsidRPr="0025156A">
          <w:rPr>
            <w:color w:val="0000FF"/>
            <w:u w:val="single"/>
            <w:rtl/>
          </w:rPr>
          <w:t>בסעיף 2(ב)</w:t>
        </w:r>
      </w:hyperlink>
      <w:r>
        <w:rPr>
          <w:rFonts w:hint="cs"/>
          <w:rtl/>
        </w:rPr>
        <w:t xml:space="preserve"> מנסים להשיג היא שתצמח להם באמצעות פגיעה בתחרות, ולפיכך אלה הם הסדרים האסורים מטבע בריאתם. קיומן של חזקות חלוטות במצב דברים זה יש בו כדי לקדם את הוודאות המשפטית של בעלי דין עתידיים, להגביר את רמת ההרתעה של האיסורים ב</w:t>
      </w:r>
      <w:hyperlink r:id="rId139" w:history="1">
        <w:r w:rsidR="00A7624C" w:rsidRPr="00A7624C">
          <w:rPr>
            <w:rStyle w:val="Hyperlink"/>
            <w:rtl/>
          </w:rPr>
          <w:t>חוק ההגבלים העסקיים</w:t>
        </w:r>
      </w:hyperlink>
      <w:r>
        <w:rPr>
          <w:rFonts w:hint="cs"/>
          <w:rtl/>
        </w:rPr>
        <w:t xml:space="preserve">, ואף לתרום לחיסכון במשאבים יקרים הנדרשים במצב רגיל, במסגרת </w:t>
      </w:r>
      <w:hyperlink r:id="rId140" w:history="1">
        <w:r w:rsidR="0025156A" w:rsidRPr="0025156A">
          <w:rPr>
            <w:color w:val="0000FF"/>
            <w:u w:val="single"/>
            <w:rtl/>
          </w:rPr>
          <w:t>סעיף 2(א)</w:t>
        </w:r>
      </w:hyperlink>
      <w:r>
        <w:rPr>
          <w:rFonts w:hint="cs"/>
          <w:rtl/>
        </w:rPr>
        <w:t xml:space="preserve"> לחוק, לשם הוכחת תוצאתו הפוטנציאלית של ההסדר על השוק (ראו </w:t>
      </w:r>
      <w:r w:rsidR="00010BA8" w:rsidRPr="00010BA8">
        <w:rPr>
          <w:rtl/>
        </w:rPr>
        <w:t xml:space="preserve">מ' (שיצר) </w:t>
      </w:r>
      <w:hyperlink r:id="rId141" w:history="1">
        <w:r w:rsidR="00AD4D63" w:rsidRPr="00AD4D63">
          <w:rPr>
            <w:rStyle w:val="Hyperlink"/>
            <w:rtl/>
          </w:rPr>
          <w:t xml:space="preserve">גל "לבור את המוץ מהתבן </w:t>
        </w:r>
      </w:hyperlink>
      <w:r w:rsidR="00010BA8" w:rsidRPr="00010BA8">
        <w:rPr>
          <w:rtl/>
        </w:rPr>
        <w:t xml:space="preserve"> – היקף תחולתו של האיסור לערוך הסדר כובל בהתאם לפסיקה האחרונה</w:t>
      </w:r>
      <w:r>
        <w:rPr>
          <w:rFonts w:hint="cs"/>
          <w:rtl/>
        </w:rPr>
        <w:t xml:space="preserve">" </w:t>
      </w:r>
      <w:r w:rsidR="00010BA8">
        <w:rPr>
          <w:rFonts w:cs="Miriam" w:hint="cs"/>
          <w:szCs w:val="19"/>
          <w:rtl/>
        </w:rPr>
        <w:t>[</w:t>
      </w:r>
      <w:r w:rsidR="00BA5973">
        <w:rPr>
          <w:rFonts w:cs="Miriam" w:hint="cs"/>
          <w:szCs w:val="19"/>
          <w:rtl/>
        </w:rPr>
        <w:t>33</w:t>
      </w:r>
      <w:r w:rsidR="00010BA8">
        <w:rPr>
          <w:rFonts w:cs="Miriam" w:hint="cs"/>
          <w:szCs w:val="19"/>
          <w:rtl/>
        </w:rPr>
        <w:t>]</w:t>
      </w:r>
      <w:r>
        <w:rPr>
          <w:rFonts w:hint="cs"/>
          <w:rtl/>
        </w:rPr>
        <w:t>,</w:t>
      </w:r>
      <w:r w:rsidR="00010BA8">
        <w:rPr>
          <w:rFonts w:hint="cs"/>
          <w:rtl/>
        </w:rPr>
        <w:t xml:space="preserve"> </w:t>
      </w:r>
      <w:r w:rsidR="00010BA8">
        <w:rPr>
          <w:rFonts w:cs="Miriam" w:hint="cs"/>
          <w:szCs w:val="19"/>
          <w:rtl/>
        </w:rPr>
        <w:t>בעמ'</w:t>
      </w:r>
      <w:r w:rsidRPr="00010BA8">
        <w:rPr>
          <w:rFonts w:cs="Miriam" w:hint="cs"/>
          <w:szCs w:val="19"/>
          <w:rtl/>
        </w:rPr>
        <w:t xml:space="preserve"> 547</w:t>
      </w:r>
      <w:r>
        <w:rPr>
          <w:rFonts w:hint="cs"/>
          <w:rtl/>
        </w:rPr>
        <w:t xml:space="preserve">). </w:t>
      </w:r>
    </w:p>
    <w:p w:rsidR="006A180F" w:rsidRDefault="006A180F" w:rsidP="006A180F">
      <w:pPr>
        <w:pStyle w:val="a"/>
        <w:rPr>
          <w:rFonts w:hint="cs"/>
          <w:rtl/>
        </w:rPr>
      </w:pPr>
      <w:r>
        <w:rPr>
          <w:rFonts w:hint="cs"/>
          <w:rtl/>
        </w:rPr>
        <w:t xml:space="preserve">אולם אליה וקוץ בה, שכן מוחלטותן של חזקות </w:t>
      </w:r>
      <w:hyperlink r:id="rId142" w:history="1">
        <w:r w:rsidR="0025156A" w:rsidRPr="0025156A">
          <w:rPr>
            <w:color w:val="0000FF"/>
            <w:u w:val="single"/>
            <w:rtl/>
          </w:rPr>
          <w:t>סעיף 2(ב)</w:t>
        </w:r>
      </w:hyperlink>
      <w:r>
        <w:rPr>
          <w:rFonts w:hint="cs"/>
          <w:rtl/>
        </w:rPr>
        <w:t xml:space="preserve"> צמצמה את שיקול הדעת של בתי המשפט, ולעתים ברשתן של חזקות אלו נתפסו גם הסדרים אשר להשפעתם לא נודעה השלכה כלשהי על התחרות, או אף פוטנציאל לפגיעה כזו. וברי כי הרשעתם של צדדים להסדר כזה אינה משרתת את תכליתם של דיני ההגבלים העסקיים שעליה עמדנו בראשית דברינו.</w:t>
      </w:r>
    </w:p>
    <w:p w:rsidR="006A180F" w:rsidRDefault="00D35634" w:rsidP="00884A70">
      <w:pPr>
        <w:pStyle w:val="a"/>
        <w:rPr>
          <w:rFonts w:hint="cs"/>
          <w:rtl/>
        </w:rPr>
      </w:pPr>
      <w:r>
        <w:rPr>
          <w:rtl/>
        </w:rPr>
        <w:br w:type="page"/>
      </w:r>
      <w:r w:rsidR="006A180F">
        <w:rPr>
          <w:rFonts w:hint="cs"/>
          <w:rtl/>
        </w:rPr>
        <w:t>17.</w:t>
      </w:r>
      <w:r w:rsidR="006A180F">
        <w:rPr>
          <w:rFonts w:hint="cs"/>
          <w:rtl/>
        </w:rPr>
        <w:tab/>
        <w:t xml:space="preserve">ואכן, עוד בטרם נס לחה של הלכת </w:t>
      </w:r>
      <w:r w:rsidR="006A180F" w:rsidRPr="001867CF">
        <w:rPr>
          <w:rFonts w:cs="Miriam" w:hint="cs"/>
          <w:szCs w:val="19"/>
          <w:rtl/>
        </w:rPr>
        <w:t>טבעול</w:t>
      </w:r>
      <w:r w:rsidR="001867CF">
        <w:rPr>
          <w:rFonts w:cs="Miriam" w:hint="cs"/>
          <w:szCs w:val="19"/>
          <w:rtl/>
        </w:rPr>
        <w:t xml:space="preserve"> [3]</w:t>
      </w:r>
      <w:r w:rsidR="006A180F">
        <w:rPr>
          <w:rFonts w:hint="cs"/>
          <w:rtl/>
        </w:rPr>
        <w:t xml:space="preserve"> החלו להיראות בה סימנים של כרסום. </w:t>
      </w:r>
      <w:r w:rsidR="006A180F" w:rsidRPr="00E16FA7">
        <w:rPr>
          <w:rFonts w:hint="cs"/>
          <w:rtl/>
        </w:rPr>
        <w:t xml:space="preserve">אגב כך התעורר </w:t>
      </w:r>
      <w:r w:rsidR="006A180F">
        <w:rPr>
          <w:rFonts w:hint="cs"/>
          <w:rtl/>
        </w:rPr>
        <w:t>בכמה</w:t>
      </w:r>
      <w:r w:rsidR="006A180F" w:rsidRPr="00E16FA7">
        <w:rPr>
          <w:rFonts w:hint="cs"/>
          <w:rtl/>
        </w:rPr>
        <w:t xml:space="preserve"> מקרים גם החשש כי צד לחוזה ינסה להתחמק מההתחייבויות הנובעות ממנו באמצעות ניצול הוראותיו הרחבות של </w:t>
      </w:r>
      <w:hyperlink r:id="rId143" w:history="1">
        <w:r w:rsidR="00A7624C" w:rsidRPr="00A7624C">
          <w:rPr>
            <w:rStyle w:val="Hyperlink"/>
            <w:rtl/>
          </w:rPr>
          <w:t>חוק ההגבלים העסקיים</w:t>
        </w:r>
      </w:hyperlink>
      <w:r w:rsidR="006A180F" w:rsidRPr="00E16FA7">
        <w:rPr>
          <w:rFonts w:hint="cs"/>
          <w:rtl/>
        </w:rPr>
        <w:t xml:space="preserve"> שלא לתכלית </w:t>
      </w:r>
      <w:r w:rsidR="006A180F">
        <w:rPr>
          <w:rFonts w:hint="cs"/>
          <w:rtl/>
        </w:rPr>
        <w:t>ש</w:t>
      </w:r>
      <w:r w:rsidR="006A180F" w:rsidRPr="00E16FA7">
        <w:rPr>
          <w:rFonts w:hint="cs"/>
          <w:rtl/>
        </w:rPr>
        <w:t>אותה הן נועדו להגשים.</w:t>
      </w:r>
      <w:r w:rsidR="006A180F">
        <w:rPr>
          <w:rFonts w:hint="cs"/>
          <w:rtl/>
        </w:rPr>
        <w:t xml:space="preserve"> ב</w:t>
      </w:r>
      <w:hyperlink r:id="rId144" w:history="1">
        <w:r w:rsidR="00AD4D63" w:rsidRPr="00AD4D63">
          <w:rPr>
            <w:rFonts w:cs="Miriam"/>
            <w:color w:val="0000FF"/>
            <w:szCs w:val="19"/>
            <w:u w:val="single"/>
            <w:rtl/>
          </w:rPr>
          <w:t>ע"א 3700/98</w:t>
        </w:r>
      </w:hyperlink>
      <w:r w:rsidR="006A180F" w:rsidRPr="00010BA8">
        <w:rPr>
          <w:rFonts w:cs="Miriam" w:hint="cs"/>
          <w:szCs w:val="19"/>
          <w:rtl/>
        </w:rPr>
        <w:t xml:space="preserve"> </w:t>
      </w:r>
      <w:r w:rsidR="00010BA8" w:rsidRPr="00010BA8">
        <w:rPr>
          <w:rFonts w:cs="Miriam"/>
          <w:szCs w:val="19"/>
          <w:rtl/>
        </w:rPr>
        <w:t>א.מ. חניות (ירושלים) 1993 בע"מ נ' עיריית ירושלים</w:t>
      </w:r>
      <w:r w:rsidR="006A180F">
        <w:rPr>
          <w:rFonts w:hint="cs"/>
          <w:rtl/>
        </w:rPr>
        <w:t xml:space="preserve"> (להלן</w:t>
      </w:r>
      <w:r w:rsidR="00010BA8">
        <w:rPr>
          <w:rFonts w:hint="cs"/>
          <w:rtl/>
        </w:rPr>
        <w:t xml:space="preserve"> –</w:t>
      </w:r>
      <w:r w:rsidR="006A180F">
        <w:rPr>
          <w:rFonts w:hint="cs"/>
          <w:rtl/>
        </w:rPr>
        <w:t xml:space="preserve"> פרשת</w:t>
      </w:r>
      <w:r w:rsidR="006A180F" w:rsidRPr="00627AA7">
        <w:rPr>
          <w:rFonts w:cs="Miriam" w:hint="cs"/>
          <w:sz w:val="24"/>
          <w:rtl/>
        </w:rPr>
        <w:t xml:space="preserve"> </w:t>
      </w:r>
      <w:r w:rsidR="006A180F" w:rsidRPr="00010BA8">
        <w:rPr>
          <w:rFonts w:cs="Miriam" w:hint="cs"/>
          <w:szCs w:val="19"/>
          <w:rtl/>
        </w:rPr>
        <w:t>חניות</w:t>
      </w:r>
      <w:r w:rsidR="00010BA8">
        <w:rPr>
          <w:rFonts w:cs="Miriam" w:hint="cs"/>
          <w:szCs w:val="19"/>
          <w:rtl/>
        </w:rPr>
        <w:t xml:space="preserve"> [4]</w:t>
      </w:r>
      <w:r w:rsidR="006A180F">
        <w:rPr>
          <w:rFonts w:hint="cs"/>
          <w:rtl/>
        </w:rPr>
        <w:t xml:space="preserve">) דובר במכרז שעיריית ירושלים פרסמה ועניינו בהפעלת חניון עירוני. באחד מתנאי המכרז הגבילה העירייה את מספר המנויים בחניון ואת המחיר המרבי שיוכל הזוכה במכרז לגבות עבור חנייה מתוך רצון להבטיח את רווחתו של הציבור. המערערת, אשר זכתה במכרז, טענה כי הגבלה זו היא כבילה אסורה לפי </w:t>
      </w:r>
      <w:hyperlink r:id="rId145" w:history="1">
        <w:r w:rsidR="0025156A" w:rsidRPr="0025156A">
          <w:rPr>
            <w:color w:val="0000FF"/>
            <w:u w:val="single"/>
            <w:rtl/>
          </w:rPr>
          <w:t>סעיף 2(ב)</w:t>
        </w:r>
      </w:hyperlink>
      <w:r w:rsidR="006A180F">
        <w:rPr>
          <w:rFonts w:hint="cs"/>
          <w:rtl/>
        </w:rPr>
        <w:t xml:space="preserve">. חברי </w:t>
      </w:r>
      <w:r w:rsidR="006A180F" w:rsidRPr="00884A70">
        <w:rPr>
          <w:rFonts w:cs="Miriam" w:hint="cs"/>
          <w:szCs w:val="19"/>
          <w:rtl/>
        </w:rPr>
        <w:t>השופט ריבלין</w:t>
      </w:r>
      <w:r w:rsidR="006A180F">
        <w:rPr>
          <w:rFonts w:hint="cs"/>
          <w:rtl/>
        </w:rPr>
        <w:t xml:space="preserve"> דחה את הטענה, וקבע באותה פרשה כך:</w:t>
      </w:r>
    </w:p>
    <w:p w:rsidR="006A180F" w:rsidRDefault="006A180F" w:rsidP="00884A70">
      <w:pPr>
        <w:pStyle w:val="a4"/>
        <w:rPr>
          <w:rFonts w:hint="cs"/>
          <w:rtl/>
        </w:rPr>
      </w:pPr>
      <w:r>
        <w:rPr>
          <w:rFonts w:hint="cs"/>
          <w:rtl/>
        </w:rPr>
        <w:t xml:space="preserve">"לשונו של </w:t>
      </w:r>
      <w:r w:rsidR="00A7624C" w:rsidRPr="0025156A">
        <w:rPr>
          <w:rtl/>
        </w:rPr>
        <w:t>חוק ההגבלים העסקיים</w:t>
      </w:r>
      <w:r>
        <w:rPr>
          <w:rFonts w:hint="cs"/>
          <w:rtl/>
        </w:rPr>
        <w:t xml:space="preserve"> רחבה היא, וההגדרות המצויות בו עשויות לחבוק, </w:t>
      </w:r>
      <w:r w:rsidR="00884A70">
        <w:rPr>
          <w:rFonts w:hint="cs"/>
          <w:rtl/>
        </w:rPr>
        <w:t>על</w:t>
      </w:r>
      <w:r w:rsidR="00884A70" w:rsidRPr="00884A70">
        <w:rPr>
          <w:position w:val="4"/>
          <w:rtl/>
        </w:rPr>
        <w:t>-</w:t>
      </w:r>
      <w:r>
        <w:rPr>
          <w:rFonts w:hint="cs"/>
          <w:rtl/>
        </w:rPr>
        <w:t xml:space="preserve">פי לשונן, מקרים רבים ושונים. פירוש פשטני שלהן יביא לתוצאה בלתי נסבלת </w:t>
      </w:r>
      <w:r w:rsidR="00884A70">
        <w:rPr>
          <w:rFonts w:hint="cs"/>
          <w:rtl/>
        </w:rPr>
        <w:t>ש</w:t>
      </w:r>
      <w:r>
        <w:rPr>
          <w:rFonts w:hint="cs"/>
          <w:rtl/>
        </w:rPr>
        <w:t>על</w:t>
      </w:r>
      <w:r w:rsidRPr="00884A70">
        <w:rPr>
          <w:rFonts w:hint="cs"/>
          <w:position w:val="4"/>
          <w:rtl/>
        </w:rPr>
        <w:t>-</w:t>
      </w:r>
      <w:r>
        <w:rPr>
          <w:rFonts w:hint="cs"/>
          <w:rtl/>
        </w:rPr>
        <w:t xml:space="preserve">פיה </w:t>
      </w:r>
      <w:r w:rsidR="00884A70">
        <w:rPr>
          <w:rFonts w:hint="cs"/>
          <w:rtl/>
        </w:rPr>
        <w:t>י</w:t>
      </w:r>
      <w:r>
        <w:rPr>
          <w:rFonts w:hint="cs"/>
          <w:rtl/>
        </w:rPr>
        <w:t>יחשבו כפסולים ואסורים הסדרים משפטיים רצויים</w:t>
      </w:r>
      <w:r w:rsidR="00884A70">
        <w:rPr>
          <w:rFonts w:hint="cs"/>
          <w:rtl/>
        </w:rPr>
        <w:t>,</w:t>
      </w:r>
      <w:r>
        <w:rPr>
          <w:rFonts w:hint="cs"/>
          <w:rtl/>
        </w:rPr>
        <w:t xml:space="preserve"> שהם חלק מחיי המסחר והכלכלה והמתקיימים כדבר שבש</w:t>
      </w:r>
      <w:r w:rsidR="00884A70">
        <w:rPr>
          <w:rFonts w:hint="cs"/>
          <w:rtl/>
        </w:rPr>
        <w:t>י</w:t>
      </w:r>
      <w:r>
        <w:rPr>
          <w:rFonts w:hint="cs"/>
          <w:rtl/>
        </w:rPr>
        <w:t xml:space="preserve">גרה... אם בחר המחוקק לנקוט לשון רחבה, עשה כך בכוונה ללכוד ברשתו מעשים פסולים הנוגדים את התכלית שלשמה חוקק </w:t>
      </w:r>
      <w:r w:rsidR="00884A70">
        <w:rPr>
          <w:rFonts w:hint="eastAsia"/>
          <w:rtl/>
        </w:rPr>
        <w:t>–</w:t>
      </w:r>
      <w:r>
        <w:rPr>
          <w:rFonts w:hint="cs"/>
          <w:rtl/>
        </w:rPr>
        <w:t xml:space="preserve"> את כולם, אולם אותם בלבד. לשון אחרת</w:t>
      </w:r>
      <w:r w:rsidR="00884A70">
        <w:rPr>
          <w:rFonts w:hint="cs"/>
          <w:rtl/>
        </w:rPr>
        <w:t>,</w:t>
      </w:r>
      <w:r>
        <w:rPr>
          <w:rFonts w:hint="cs"/>
          <w:rtl/>
        </w:rPr>
        <w:t xml:space="preserve"> יש להחריג מהוראת החוק את אותם מקרים </w:t>
      </w:r>
      <w:r w:rsidR="00884A70">
        <w:rPr>
          <w:rFonts w:hint="eastAsia"/>
          <w:rtl/>
        </w:rPr>
        <w:t>–</w:t>
      </w:r>
      <w:r>
        <w:rPr>
          <w:rFonts w:hint="cs"/>
          <w:rtl/>
        </w:rPr>
        <w:t xml:space="preserve"> והמקרה שלפנינו הוא אחד מהם </w:t>
      </w:r>
      <w:r w:rsidR="00884A70">
        <w:rPr>
          <w:rFonts w:hint="eastAsia"/>
          <w:rtl/>
        </w:rPr>
        <w:t>–</w:t>
      </w:r>
      <w:r>
        <w:rPr>
          <w:rFonts w:hint="cs"/>
          <w:rtl/>
        </w:rPr>
        <w:t xml:space="preserve"> הנכללים לכאורה בלשון הרחבה של הוראת סעיף 2</w:t>
      </w:r>
      <w:r w:rsidR="00884A70">
        <w:rPr>
          <w:rFonts w:hint="cs"/>
          <w:rtl/>
        </w:rPr>
        <w:t>,</w:t>
      </w:r>
      <w:r>
        <w:rPr>
          <w:rFonts w:hint="cs"/>
          <w:rtl/>
        </w:rPr>
        <w:t xml:space="preserve"> אולם בחינה תכליתית תבהיר כי הם נופלים מחוץ לגבולות החוק" (</w:t>
      </w:r>
      <w:r w:rsidR="00884A70">
        <w:rPr>
          <w:rFonts w:hint="cs"/>
          <w:rtl/>
        </w:rPr>
        <w:t>פרשת</w:t>
      </w:r>
      <w:r w:rsidR="00884A70" w:rsidRPr="00627AA7">
        <w:rPr>
          <w:rFonts w:cs="Miriam" w:hint="cs"/>
          <w:sz w:val="24"/>
          <w:rtl/>
        </w:rPr>
        <w:t xml:space="preserve"> </w:t>
      </w:r>
      <w:r w:rsidR="00884A70" w:rsidRPr="00010BA8">
        <w:rPr>
          <w:rFonts w:cs="Miriam" w:hint="cs"/>
          <w:szCs w:val="19"/>
          <w:rtl/>
        </w:rPr>
        <w:t>חניות</w:t>
      </w:r>
      <w:r w:rsidR="00884A70">
        <w:rPr>
          <w:rFonts w:cs="Miriam" w:hint="cs"/>
          <w:sz w:val="24"/>
          <w:rtl/>
        </w:rPr>
        <w:t xml:space="preserve"> </w:t>
      </w:r>
      <w:r w:rsidR="00884A70" w:rsidRPr="00884A70">
        <w:rPr>
          <w:rFonts w:cs="Miriam" w:hint="cs"/>
          <w:szCs w:val="19"/>
          <w:rtl/>
        </w:rPr>
        <w:t>[4]</w:t>
      </w:r>
      <w:r>
        <w:rPr>
          <w:rFonts w:hint="cs"/>
          <w:rtl/>
        </w:rPr>
        <w:t xml:space="preserve">, </w:t>
      </w:r>
      <w:r w:rsidR="00884A70">
        <w:rPr>
          <w:rFonts w:cs="Miriam" w:hint="cs"/>
          <w:szCs w:val="19"/>
          <w:rtl/>
        </w:rPr>
        <w:t xml:space="preserve">בעמ' </w:t>
      </w:r>
      <w:r w:rsidRPr="00884A70">
        <w:rPr>
          <w:rFonts w:cs="Miriam" w:hint="cs"/>
          <w:szCs w:val="19"/>
          <w:rtl/>
        </w:rPr>
        <w:t>598</w:t>
      </w:r>
      <w:r>
        <w:rPr>
          <w:rFonts w:hint="cs"/>
          <w:rtl/>
        </w:rPr>
        <w:t>).</w:t>
      </w:r>
    </w:p>
    <w:p w:rsidR="006A180F" w:rsidRDefault="006A180F" w:rsidP="00884A70">
      <w:pPr>
        <w:pStyle w:val="a"/>
        <w:rPr>
          <w:rFonts w:hint="cs"/>
          <w:rtl/>
        </w:rPr>
      </w:pPr>
      <w:r w:rsidRPr="00884A70">
        <w:rPr>
          <w:rFonts w:cs="Miriam" w:hint="cs"/>
          <w:szCs w:val="19"/>
          <w:rtl/>
        </w:rPr>
        <w:t>השופט אור</w:t>
      </w:r>
      <w:r w:rsidRPr="00884A70">
        <w:rPr>
          <w:rFonts w:hint="cs"/>
          <w:rtl/>
        </w:rPr>
        <w:t xml:space="preserve"> </w:t>
      </w:r>
      <w:r>
        <w:rPr>
          <w:rFonts w:hint="cs"/>
          <w:rtl/>
        </w:rPr>
        <w:t>אמנם בחר באותה פרשה ללכת בדרך שונה, אולם אף הוא הגיע למסקנה שאין לבטל את התניה האמורה.</w:t>
      </w:r>
    </w:p>
    <w:p w:rsidR="006A180F" w:rsidRDefault="006A180F" w:rsidP="004B29EB">
      <w:pPr>
        <w:pStyle w:val="a"/>
        <w:rPr>
          <w:rFonts w:hint="cs"/>
          <w:rtl/>
        </w:rPr>
      </w:pPr>
      <w:r>
        <w:rPr>
          <w:rFonts w:hint="cs"/>
          <w:rtl/>
        </w:rPr>
        <w:t xml:space="preserve">בפרשה אחרת העלו המערערים טענה דומה בקשר למכרז שבו ביקשה המדינה להקים מאגר של שמאים שיבצעו בשבילה עבודות שמאות, ואשר ידורגו על פי קריטריונים קבועים של איכות ושל מחיר עבודה. המערערת טענה כי המחיר המרבי הקבוע במכרז הוא בבחינת הסדר כובל, והוא יביא, בין היתר, לכך ששמאים יעבדו במחירי היצף ולהורדת המחירים בענף בכלל. חברתי </w:t>
      </w:r>
      <w:r w:rsidRPr="004B29EB">
        <w:rPr>
          <w:rFonts w:cs="Miriam" w:hint="cs"/>
          <w:szCs w:val="19"/>
          <w:rtl/>
        </w:rPr>
        <w:t>השופטת חיות</w:t>
      </w:r>
      <w:r w:rsidRPr="004B29EB">
        <w:rPr>
          <w:rFonts w:hint="cs"/>
          <w:rtl/>
        </w:rPr>
        <w:t xml:space="preserve"> </w:t>
      </w:r>
      <w:r>
        <w:rPr>
          <w:rFonts w:hint="cs"/>
          <w:rtl/>
        </w:rPr>
        <w:t>דחתה את הטענה כי הגבלה כזו היא כבילה אסורה, ובלשונה:</w:t>
      </w:r>
    </w:p>
    <w:p w:rsidR="00D35634" w:rsidRDefault="006A180F" w:rsidP="004B29EB">
      <w:pPr>
        <w:pStyle w:val="a4"/>
        <w:rPr>
          <w:rtl/>
        </w:rPr>
      </w:pPr>
      <w:r>
        <w:rPr>
          <w:rFonts w:hint="cs"/>
          <w:rtl/>
        </w:rPr>
        <w:t>"</w:t>
      </w:r>
      <w:r w:rsidR="004B29EB">
        <w:rPr>
          <w:rFonts w:hint="cs"/>
          <w:rtl/>
        </w:rPr>
        <w:t>...</w:t>
      </w:r>
      <w:r>
        <w:rPr>
          <w:rFonts w:hint="cs"/>
          <w:rtl/>
        </w:rPr>
        <w:t xml:space="preserve">פירוש תכליתי של הוראת </w:t>
      </w:r>
      <w:r w:rsidR="0025156A" w:rsidRPr="0025156A">
        <w:rPr>
          <w:rtl/>
        </w:rPr>
        <w:t>סעיף 2(ב)</w:t>
      </w:r>
      <w:r>
        <w:rPr>
          <w:rFonts w:hint="cs"/>
          <w:rtl/>
        </w:rPr>
        <w:t xml:space="preserve"> ל</w:t>
      </w:r>
      <w:r w:rsidR="00A7624C" w:rsidRPr="0025156A">
        <w:rPr>
          <w:rtl/>
        </w:rPr>
        <w:t>חוק ההגבלים העסקיים</w:t>
      </w:r>
      <w:r>
        <w:rPr>
          <w:rFonts w:hint="cs"/>
          <w:rtl/>
        </w:rPr>
        <w:t xml:space="preserve"> יש בו כדי לקדם את מידת הוודאות ולהפחית מן הקיפאון העסקי העלול להיגרם </w:t>
      </w:r>
    </w:p>
    <w:p w:rsidR="006A180F" w:rsidRDefault="00D35634" w:rsidP="004B29EB">
      <w:pPr>
        <w:pStyle w:val="a4"/>
        <w:rPr>
          <w:rFonts w:hint="cs"/>
          <w:rtl/>
        </w:rPr>
      </w:pPr>
      <w:r>
        <w:rPr>
          <w:rtl/>
        </w:rPr>
        <w:br w:type="page"/>
      </w:r>
      <w:r w:rsidR="006A180F">
        <w:rPr>
          <w:rFonts w:hint="cs"/>
          <w:rtl/>
        </w:rPr>
        <w:t>עקב פרשנות מילולית</w:t>
      </w:r>
      <w:r w:rsidR="006A180F" w:rsidRPr="004B29EB">
        <w:rPr>
          <w:rFonts w:hint="cs"/>
          <w:position w:val="4"/>
          <w:rtl/>
        </w:rPr>
        <w:t>-</w:t>
      </w:r>
      <w:r w:rsidR="006A180F">
        <w:rPr>
          <w:rFonts w:hint="cs"/>
          <w:rtl/>
        </w:rPr>
        <w:t>מרחיבה של הוראות החוק. כמו כן יש בפירוש התכליתי כדי להסיר את החשש מפני כתם של אי</w:t>
      </w:r>
      <w:r w:rsidR="006A180F" w:rsidRPr="004B29EB">
        <w:rPr>
          <w:rFonts w:hint="cs"/>
          <w:position w:val="4"/>
          <w:rtl/>
        </w:rPr>
        <w:t>-</w:t>
      </w:r>
      <w:r w:rsidR="006A180F">
        <w:rPr>
          <w:rFonts w:hint="cs"/>
          <w:rtl/>
        </w:rPr>
        <w:t>חוקיות, העלול לדבוק, שלא בצדק, בהסדרים 'תמימים' וראויים, ומפני סטיגמה עבריינית העלולה לדבוק במתקשרים בהם" (</w:t>
      </w:r>
      <w:hyperlink r:id="rId146" w:history="1">
        <w:r w:rsidR="004C5B7C" w:rsidRPr="00AD4D63">
          <w:rPr>
            <w:rStyle w:val="Hyperlink"/>
            <w:rFonts w:cs="Miriam" w:hint="eastAsia"/>
            <w:szCs w:val="19"/>
            <w:rtl/>
          </w:rPr>
          <w:t>עע</w:t>
        </w:r>
        <w:r w:rsidR="004C5B7C" w:rsidRPr="00AD4D63">
          <w:rPr>
            <w:rStyle w:val="Hyperlink"/>
            <w:rFonts w:cs="Miriam"/>
            <w:szCs w:val="19"/>
            <w:rtl/>
          </w:rPr>
          <w:t>"מ 6464/03</w:t>
        </w:r>
      </w:hyperlink>
      <w:r w:rsidR="006A180F" w:rsidRPr="004B29EB">
        <w:rPr>
          <w:rFonts w:cs="Miriam" w:hint="cs"/>
          <w:szCs w:val="19"/>
          <w:rtl/>
        </w:rPr>
        <w:t xml:space="preserve"> לשכת שמאי המקרקעין בישראל נ' משרד המשפטים</w:t>
      </w:r>
      <w:r w:rsidR="004B29EB">
        <w:rPr>
          <w:rFonts w:cs="Miriam" w:hint="cs"/>
          <w:szCs w:val="19"/>
          <w:rtl/>
        </w:rPr>
        <w:t xml:space="preserve"> [5]</w:t>
      </w:r>
      <w:r w:rsidR="006A180F">
        <w:rPr>
          <w:rFonts w:hint="cs"/>
          <w:rtl/>
        </w:rPr>
        <w:t>,</w:t>
      </w:r>
      <w:r w:rsidR="004B29EB">
        <w:rPr>
          <w:rFonts w:hint="cs"/>
          <w:rtl/>
        </w:rPr>
        <w:t xml:space="preserve"> </w:t>
      </w:r>
      <w:r w:rsidR="004B29EB">
        <w:rPr>
          <w:rFonts w:cs="Miriam" w:hint="cs"/>
          <w:szCs w:val="19"/>
          <w:rtl/>
        </w:rPr>
        <w:t>בעמ'</w:t>
      </w:r>
      <w:r w:rsidR="006A180F" w:rsidRPr="004B29EB">
        <w:rPr>
          <w:rFonts w:cs="Miriam" w:hint="cs"/>
          <w:szCs w:val="19"/>
          <w:rtl/>
        </w:rPr>
        <w:t xml:space="preserve"> 309</w:t>
      </w:r>
      <w:r w:rsidR="006A180F">
        <w:rPr>
          <w:rFonts w:hint="cs"/>
          <w:rtl/>
        </w:rPr>
        <w:t>).</w:t>
      </w:r>
    </w:p>
    <w:p w:rsidR="006A180F" w:rsidRDefault="006A180F" w:rsidP="004B29EB">
      <w:pPr>
        <w:pStyle w:val="a"/>
        <w:rPr>
          <w:rFonts w:hint="cs"/>
          <w:rtl/>
        </w:rPr>
      </w:pPr>
      <w:r>
        <w:rPr>
          <w:rFonts w:hint="cs"/>
          <w:rtl/>
        </w:rPr>
        <w:t xml:space="preserve">למען שלמות התמונה אוסיף כי בפרשה אחרת הביע </w:t>
      </w:r>
      <w:r w:rsidRPr="004B29EB">
        <w:rPr>
          <w:rFonts w:cs="Miriam" w:hint="cs"/>
          <w:szCs w:val="19"/>
          <w:rtl/>
        </w:rPr>
        <w:t>השופט טירקל</w:t>
      </w:r>
      <w:r w:rsidRPr="004B29EB">
        <w:rPr>
          <w:rFonts w:hint="cs"/>
          <w:rtl/>
        </w:rPr>
        <w:t xml:space="preserve"> </w:t>
      </w:r>
      <w:r>
        <w:rPr>
          <w:rFonts w:hint="cs"/>
          <w:rtl/>
        </w:rPr>
        <w:t xml:space="preserve">השגות בנוגע ל"מוחלטותן" של החזקות הקבועות </w:t>
      </w:r>
      <w:hyperlink r:id="rId147" w:history="1">
        <w:r w:rsidR="0025156A" w:rsidRPr="0025156A">
          <w:rPr>
            <w:rStyle w:val="Hyperlink"/>
            <w:rFonts w:hint="eastAsia"/>
            <w:rtl/>
          </w:rPr>
          <w:t>בסעיף</w:t>
        </w:r>
        <w:r w:rsidR="0025156A" w:rsidRPr="0025156A">
          <w:rPr>
            <w:rStyle w:val="Hyperlink"/>
            <w:rtl/>
          </w:rPr>
          <w:t xml:space="preserve"> 2(ב)</w:t>
        </w:r>
      </w:hyperlink>
      <w:r>
        <w:rPr>
          <w:rFonts w:hint="cs"/>
          <w:rtl/>
        </w:rPr>
        <w:t xml:space="preserve"> לחוק ההגבלים, ובהמשך אף קבע כי חזקות אלה, בגירסתן ה"מוחלטת", יחולו רק על הסדרים "אופקיים" אשר הצדדים להם מתחרים בשוק מסוים, להבדיל מהסכמים "אנכיים" שבין יצרן למשווק או מפיץ (</w:t>
      </w:r>
      <w:hyperlink r:id="rId148" w:history="1">
        <w:r w:rsidR="004C5B7C" w:rsidRPr="00AD4D63">
          <w:rPr>
            <w:rStyle w:val="Hyperlink"/>
            <w:rFonts w:cs="Miriam" w:hint="eastAsia"/>
            <w:szCs w:val="19"/>
            <w:rtl/>
          </w:rPr>
          <w:t>רע</w:t>
        </w:r>
        <w:r w:rsidR="004C5B7C" w:rsidRPr="00AD4D63">
          <w:rPr>
            <w:rStyle w:val="Hyperlink"/>
            <w:rFonts w:cs="Miriam"/>
            <w:szCs w:val="19"/>
            <w:rtl/>
          </w:rPr>
          <w:t>"א 6233/02</w:t>
        </w:r>
      </w:hyperlink>
      <w:r w:rsidRPr="004B29EB">
        <w:rPr>
          <w:rFonts w:cs="Miriam" w:hint="cs"/>
          <w:szCs w:val="19"/>
          <w:rtl/>
        </w:rPr>
        <w:t xml:space="preserve"> </w:t>
      </w:r>
      <w:r w:rsidR="004B29EB" w:rsidRPr="004B29EB">
        <w:rPr>
          <w:rFonts w:cs="Miriam"/>
          <w:szCs w:val="19"/>
          <w:rtl/>
        </w:rPr>
        <w:t>אקסטל בע"מ נ' קאלמא ווי תעשיה, שיווק אלומיניום זכוכית ופרזול בע"מ</w:t>
      </w:r>
      <w:r w:rsidR="004B29EB">
        <w:rPr>
          <w:rFonts w:cs="Miriam" w:hint="cs"/>
          <w:szCs w:val="19"/>
          <w:rtl/>
        </w:rPr>
        <w:t xml:space="preserve"> [6]</w:t>
      </w:r>
      <w:r>
        <w:rPr>
          <w:rFonts w:hint="cs"/>
          <w:rtl/>
        </w:rPr>
        <w:t xml:space="preserve">). זוהי אף דעתו של המלומד ד' </w:t>
      </w:r>
      <w:hyperlink r:id="rId149" w:history="1">
        <w:r w:rsidR="00AD4D63" w:rsidRPr="00AD4D63">
          <w:rPr>
            <w:rStyle w:val="Hyperlink"/>
            <w:rtl/>
          </w:rPr>
          <w:t xml:space="preserve">גילה במאמרו "האם ראוי לפרוץ את </w:t>
        </w:r>
      </w:hyperlink>
      <w:r w:rsidR="004B29EB" w:rsidRPr="004B29EB">
        <w:rPr>
          <w:rtl/>
        </w:rPr>
        <w:t xml:space="preserve"> סכר ההסדרים הכובלים ולחסום את השיטפון בגדרות אד</w:t>
      </w:r>
      <w:r w:rsidR="004B29EB" w:rsidRPr="00D802CA">
        <w:rPr>
          <w:position w:val="4"/>
          <w:rtl/>
        </w:rPr>
        <w:t>-</w:t>
      </w:r>
      <w:r w:rsidR="004B29EB" w:rsidRPr="004B29EB">
        <w:rPr>
          <w:rtl/>
        </w:rPr>
        <w:t>הוק? – הגיעה השעה לחצוץ בין הסדרים אופקיים לאנכיים"</w:t>
      </w:r>
      <w:r w:rsidR="004B29EB">
        <w:rPr>
          <w:rFonts w:hint="cs"/>
          <w:rtl/>
        </w:rPr>
        <w:t xml:space="preserve"> </w:t>
      </w:r>
      <w:r w:rsidR="004B29EB">
        <w:rPr>
          <w:rFonts w:cs="Miriam" w:hint="cs"/>
          <w:szCs w:val="19"/>
          <w:rtl/>
        </w:rPr>
        <w:t>[</w:t>
      </w:r>
      <w:r w:rsidR="00BA5973">
        <w:rPr>
          <w:rFonts w:cs="Miriam" w:hint="cs"/>
          <w:szCs w:val="19"/>
          <w:rtl/>
        </w:rPr>
        <w:t>34</w:t>
      </w:r>
      <w:r w:rsidR="004B29EB">
        <w:rPr>
          <w:rFonts w:cs="Miriam" w:hint="cs"/>
          <w:szCs w:val="19"/>
          <w:rtl/>
        </w:rPr>
        <w:t>]</w:t>
      </w:r>
      <w:r>
        <w:rPr>
          <w:rFonts w:hint="cs"/>
          <w:rtl/>
        </w:rPr>
        <w:t xml:space="preserve">). לא ראיתי לנכון להכריע בסוגיה זו. הואיל ולהשקפתי במקרה שבפנינו לא יכול להיות ספק כי הכבילה שבין מנורה לאריאל היא כבילה "אופקית", ובאשר לכבילה כזו, כאשר היא נופלת בגדרו של </w:t>
      </w:r>
      <w:hyperlink r:id="rId150" w:history="1">
        <w:r w:rsidR="0025156A" w:rsidRPr="0025156A">
          <w:rPr>
            <w:rStyle w:val="Hyperlink"/>
            <w:rFonts w:hint="eastAsia"/>
            <w:rtl/>
          </w:rPr>
          <w:t>סעיף</w:t>
        </w:r>
        <w:r w:rsidR="0025156A" w:rsidRPr="0025156A">
          <w:rPr>
            <w:rStyle w:val="Hyperlink"/>
            <w:rtl/>
          </w:rPr>
          <w:t xml:space="preserve"> 2(ב)</w:t>
        </w:r>
      </w:hyperlink>
      <w:r>
        <w:rPr>
          <w:rFonts w:hint="cs"/>
          <w:rtl/>
        </w:rPr>
        <w:t>, מסכימים הכול כי היא מקימה חזקה חלוטה.</w:t>
      </w:r>
    </w:p>
    <w:p w:rsidR="006A180F" w:rsidRDefault="006A180F" w:rsidP="006A180F">
      <w:pPr>
        <w:pStyle w:val="a"/>
        <w:rPr>
          <w:rFonts w:hint="cs"/>
          <w:rtl/>
        </w:rPr>
      </w:pPr>
      <w:r>
        <w:rPr>
          <w:rFonts w:hint="cs"/>
          <w:rtl/>
        </w:rPr>
        <w:t>18.</w:t>
      </w:r>
      <w:r>
        <w:rPr>
          <w:rFonts w:hint="cs"/>
          <w:rtl/>
        </w:rPr>
        <w:tab/>
        <w:t xml:space="preserve">לאחר שבחנתי את טענות הצדדים, על פה ובכתב, מסקנתי היא כי הסכם הבוררות שבין אריאל למנורה נועד ליצור "חלוקת שוק" כמשמעה </w:t>
      </w:r>
      <w:hyperlink r:id="rId151" w:history="1">
        <w:r w:rsidR="0025156A" w:rsidRPr="0025156A">
          <w:rPr>
            <w:rStyle w:val="Hyperlink"/>
            <w:rFonts w:hint="eastAsia"/>
            <w:rtl/>
          </w:rPr>
          <w:t>בסעיף</w:t>
        </w:r>
        <w:r w:rsidR="0025156A" w:rsidRPr="0025156A">
          <w:rPr>
            <w:rStyle w:val="Hyperlink"/>
            <w:rtl/>
          </w:rPr>
          <w:t xml:space="preserve"> 2(ב)(3)</w:t>
        </w:r>
      </w:hyperlink>
      <w:r>
        <w:rPr>
          <w:rFonts w:hint="cs"/>
          <w:rtl/>
        </w:rPr>
        <w:t xml:space="preserve"> ל</w:t>
      </w:r>
      <w:hyperlink r:id="rId152" w:history="1">
        <w:r w:rsidR="00A7624C" w:rsidRPr="00A7624C">
          <w:rPr>
            <w:rStyle w:val="Hyperlink"/>
            <w:rtl/>
          </w:rPr>
          <w:t>חוק ההגבלים העסקיים</w:t>
        </w:r>
      </w:hyperlink>
      <w:r>
        <w:rPr>
          <w:rFonts w:hint="cs"/>
          <w:rtl/>
        </w:rPr>
        <w:t xml:space="preserve">, ולפיכך חטאו הצדדים להסכם בעבירה של יצירת הסדר כובל. מסקנה זו נסמכת על לשונו של ההסכם, על ניסיון החיים ועל השכל הישר, על קביעותיו העובדתיות של בית משפט קמא ועל בחינה תכליתית של דיני ההגבלים העסקיים. </w:t>
      </w:r>
    </w:p>
    <w:p w:rsidR="00D35634" w:rsidRDefault="0025156A" w:rsidP="00D802CA">
      <w:pPr>
        <w:pStyle w:val="a"/>
        <w:rPr>
          <w:rtl/>
        </w:rPr>
      </w:pPr>
      <w:hyperlink r:id="rId153" w:history="1">
        <w:r w:rsidRPr="0025156A">
          <w:rPr>
            <w:rStyle w:val="Hyperlink"/>
            <w:rFonts w:hint="eastAsia"/>
            <w:rtl/>
          </w:rPr>
          <w:t>סעיף</w:t>
        </w:r>
        <w:r w:rsidRPr="0025156A">
          <w:rPr>
            <w:rStyle w:val="Hyperlink"/>
            <w:rtl/>
          </w:rPr>
          <w:t xml:space="preserve"> 2(ב)(3)</w:t>
        </w:r>
      </w:hyperlink>
      <w:r w:rsidR="006A180F">
        <w:rPr>
          <w:rFonts w:hint="cs"/>
          <w:rtl/>
        </w:rPr>
        <w:t xml:space="preserve"> לחוק ההגבלים קובע כי "</w:t>
      </w:r>
      <w:r w:rsidR="004B29EB">
        <w:rPr>
          <w:rFonts w:hint="cs"/>
          <w:rtl/>
        </w:rPr>
        <w:t>...</w:t>
      </w:r>
      <w:r w:rsidR="006A180F">
        <w:rPr>
          <w:rFonts w:hint="cs"/>
          <w:rtl/>
        </w:rPr>
        <w:t xml:space="preserve">יראו כהסדר כובל </w:t>
      </w:r>
      <w:r w:rsidR="006A180F" w:rsidRPr="004B29EB">
        <w:rPr>
          <w:rFonts w:cs="Miriam" w:hint="cs"/>
          <w:szCs w:val="19"/>
          <w:rtl/>
        </w:rPr>
        <w:t>הסדר שבו הכבילה נוגעת</w:t>
      </w:r>
      <w:r w:rsidR="00D802CA">
        <w:rPr>
          <w:rFonts w:cs="Miriam" w:hint="cs"/>
          <w:szCs w:val="19"/>
          <w:rtl/>
        </w:rPr>
        <w:t>...</w:t>
      </w:r>
      <w:r w:rsidR="006A180F" w:rsidRPr="004B29EB">
        <w:rPr>
          <w:rFonts w:cs="Miriam" w:hint="cs"/>
          <w:szCs w:val="19"/>
          <w:rtl/>
        </w:rPr>
        <w:t xml:space="preserve"> </w:t>
      </w:r>
      <w:r w:rsidR="00D802CA">
        <w:rPr>
          <w:rFonts w:cs="Miriam" w:hint="cs"/>
          <w:szCs w:val="19"/>
          <w:rtl/>
        </w:rPr>
        <w:t>[</w:t>
      </w:r>
      <w:r w:rsidR="006A180F" w:rsidRPr="004B29EB">
        <w:rPr>
          <w:rFonts w:cs="Miriam" w:hint="cs"/>
          <w:szCs w:val="19"/>
          <w:rtl/>
        </w:rPr>
        <w:t>ל</w:t>
      </w:r>
      <w:r w:rsidR="00D802CA">
        <w:rPr>
          <w:rFonts w:cs="Miriam" w:hint="cs"/>
          <w:szCs w:val="19"/>
          <w:rtl/>
        </w:rPr>
        <w:t>]</w:t>
      </w:r>
      <w:r w:rsidR="006A180F" w:rsidRPr="004B29EB">
        <w:rPr>
          <w:rFonts w:cs="Miriam" w:hint="cs"/>
          <w:szCs w:val="19"/>
          <w:rtl/>
        </w:rPr>
        <w:t>חלוקת השוק, כולו או חלקו, לפי מקום העיסוק</w:t>
      </w:r>
      <w:r w:rsidR="006A180F">
        <w:rPr>
          <w:rFonts w:hint="cs"/>
          <w:rtl/>
        </w:rPr>
        <w:t xml:space="preserve"> או לפי האנשים או סוג האנשים, שעמם יעסקו"</w:t>
      </w:r>
      <w:r w:rsidR="004B29EB">
        <w:rPr>
          <w:rFonts w:hint="cs"/>
          <w:rtl/>
        </w:rPr>
        <w:t xml:space="preserve"> (ההדגשה שלי – א' א' ל')</w:t>
      </w:r>
      <w:r w:rsidR="006A180F">
        <w:rPr>
          <w:rFonts w:hint="cs"/>
          <w:rtl/>
        </w:rPr>
        <w:t xml:space="preserve">. ההסדר שבין מנורה לאריאל נועד למטרה זו של חלוקת שוק, ומכוחו קיבלה מנורה לידיה את תחזוקת הרמזורים בחיפה, ואריאל את ירושלים. לעניין זה אין כל חשיבות לשאלה אם את התחזוקה בצמתים בירושלים התכוונו הצדדים להעביר לאריאל בדרך של קבלנות משנה או בדרך של זכייה במכרז. הדגש הנוגע </w:t>
      </w:r>
      <w:hyperlink r:id="rId154" w:history="1">
        <w:r w:rsidRPr="0025156A">
          <w:rPr>
            <w:rStyle w:val="Hyperlink"/>
            <w:rFonts w:hint="eastAsia"/>
            <w:rtl/>
          </w:rPr>
          <w:t>לסעיף</w:t>
        </w:r>
        <w:r w:rsidRPr="0025156A">
          <w:rPr>
            <w:rStyle w:val="Hyperlink"/>
            <w:rtl/>
          </w:rPr>
          <w:t xml:space="preserve"> 2(ב)(3)</w:t>
        </w:r>
      </w:hyperlink>
      <w:r w:rsidR="006A180F">
        <w:rPr>
          <w:rFonts w:hint="cs"/>
          <w:rtl/>
        </w:rPr>
        <w:t xml:space="preserve"> הוא בעצם חלוקתו של השוק על בסיס גאוגרפי, ולא על הדרך שבה בוצעה חלוקה זו. לו היה מדובר רק בהעברת הצמתים בירושלים, ייתכן שהייתי מתקשה לקבוע באופן חד</w:t>
      </w:r>
      <w:r w:rsidR="006A180F" w:rsidRPr="00B8078F">
        <w:rPr>
          <w:rFonts w:hint="cs"/>
          <w:position w:val="4"/>
          <w:rtl/>
        </w:rPr>
        <w:t>-</w:t>
      </w:r>
      <w:r w:rsidR="006A180F">
        <w:rPr>
          <w:rFonts w:hint="cs"/>
          <w:rtl/>
        </w:rPr>
        <w:t xml:space="preserve">משמעי כי העברה כזו היא חלוקת שוק. אולם במקרה שבפנינו העברתם של הצמתים בירושלים נעשתה על רקע הדרתה של אריאל </w:t>
      </w:r>
    </w:p>
    <w:p w:rsidR="006A180F" w:rsidRDefault="00D35634" w:rsidP="00D35634">
      <w:pPr>
        <w:pStyle w:val="a"/>
        <w:ind w:firstLine="0"/>
        <w:rPr>
          <w:rFonts w:hint="cs"/>
          <w:rtl/>
        </w:rPr>
      </w:pPr>
      <w:r>
        <w:rPr>
          <w:rtl/>
        </w:rPr>
        <w:br w:type="page"/>
      </w:r>
      <w:r w:rsidR="006A180F">
        <w:rPr>
          <w:rFonts w:hint="cs"/>
          <w:rtl/>
        </w:rPr>
        <w:t xml:space="preserve">מהשוק בחיפה, ובתמורה לכך. התחייבות הדדית כזו, שבה כל חברה רוכשת חזקה בטריטוריה נפרדת מכוחה של הסכמה מוקדמת ביניהן, יש לראות בה חלוקת שוק. </w:t>
      </w:r>
    </w:p>
    <w:p w:rsidR="006A180F" w:rsidRDefault="006A180F" w:rsidP="00D802CA">
      <w:pPr>
        <w:pStyle w:val="a"/>
        <w:rPr>
          <w:rFonts w:hint="cs"/>
          <w:rtl/>
        </w:rPr>
      </w:pPr>
      <w:r>
        <w:rPr>
          <w:rFonts w:hint="cs"/>
          <w:rtl/>
        </w:rPr>
        <w:t>19.</w:t>
      </w:r>
      <w:r>
        <w:rPr>
          <w:rFonts w:hint="cs"/>
          <w:rtl/>
        </w:rPr>
        <w:tab/>
        <w:t xml:space="preserve">העולה מכך הוא כי ההסכם בין מנורה לאריאל מקים חזקה חלוטה שלפיה ההסדר פוגע בתחרות, וככל חזקה חלוטה היא אינה משמשת אך כלי עזר ראייתי, ולפיכך גם אינה ניתנת להפרכה. לאור זאת לא ראיתי צורך לפנות להגדרתו של הסכם כובל </w:t>
      </w:r>
      <w:hyperlink r:id="rId155" w:history="1">
        <w:r w:rsidR="0025156A" w:rsidRPr="0025156A">
          <w:rPr>
            <w:rStyle w:val="Hyperlink"/>
            <w:rFonts w:hint="eastAsia"/>
            <w:rtl/>
          </w:rPr>
          <w:t>בסעיף</w:t>
        </w:r>
        <w:r w:rsidR="0025156A" w:rsidRPr="0025156A">
          <w:rPr>
            <w:rStyle w:val="Hyperlink"/>
            <w:rtl/>
          </w:rPr>
          <w:t xml:space="preserve"> 2(א)</w:t>
        </w:r>
      </w:hyperlink>
      <w:r>
        <w:rPr>
          <w:rFonts w:hint="cs"/>
          <w:rtl/>
        </w:rPr>
        <w:t>, ובכך יש כדי לייתר דיון ממושך במאפייניו של שוק הרמזורים בחיפה ובאפשרותה של אריאל לזכות במכרז חיפה לולא הסכם הבוררות. כפועל יוצא מכך גם לא ראיתי מקום לדון בשאלה אם בהתחייבות להימנע מנקיטתם של הליכים משפטיים טמון פוטנציאל לפגיעה בתחרות, אולם מצאתי לנכון להוסיף כי לדעתי גם התחייבות כזו עשויה להיות, בנסיבות מסוימות, כרוכה בפגיעה בתחרות, בשל הוודאות שהיא מעניקה למשתתף במכרז בזכייתו. קביעתו של בית משפט קמא שלפיה לא ראוי בנסיבות אלו לחייב את אריאל להמשיך להשקיע משאבים בניהולם של הליכים משפטיים נגד מנורה (</w:t>
      </w:r>
      <w:hyperlink r:id="rId156" w:history="1">
        <w:r w:rsidR="004C5B7C" w:rsidRPr="004C5B7C">
          <w:rPr>
            <w:rStyle w:val="Hyperlink"/>
            <w:rFonts w:cs="Miriam" w:hint="eastAsia"/>
            <w:spacing w:val="-2"/>
            <w:szCs w:val="19"/>
            <w:rtl/>
          </w:rPr>
          <w:t>ת</w:t>
        </w:r>
        <w:r w:rsidR="004C5B7C" w:rsidRPr="004C5B7C">
          <w:rPr>
            <w:rStyle w:val="Hyperlink"/>
            <w:rFonts w:cs="Miriam"/>
            <w:spacing w:val="-2"/>
            <w:szCs w:val="19"/>
            <w:rtl/>
          </w:rPr>
          <w:t>"פ (י-ם) 287/98</w:t>
        </w:r>
      </w:hyperlink>
      <w:r w:rsidR="00D802CA" w:rsidRPr="00BA5973">
        <w:rPr>
          <w:rFonts w:cs="Miriam" w:hint="cs"/>
          <w:spacing w:val="-2"/>
          <w:szCs w:val="19"/>
          <w:rtl/>
        </w:rPr>
        <w:t xml:space="preserve"> הנ"ל [25]</w:t>
      </w:r>
      <w:r w:rsidR="00D802CA">
        <w:rPr>
          <w:rFonts w:hint="cs"/>
          <w:rtl/>
        </w:rPr>
        <w:t>, פיסקה 43</w:t>
      </w:r>
      <w:r>
        <w:rPr>
          <w:rFonts w:hint="cs"/>
          <w:rtl/>
        </w:rPr>
        <w:t>), היא קביעה תמוהה, שהרי כדי להימנע מביצוע העבירה לא נדרשה אריאל כלל להמשיך ולהתחרות במנורה על כורחה. לאריאל עמדה הזכות להחליט באופן עצמאי, למשל בשל שיקולים כלכליים של עלות מול תועלת, שלא לנקוט הליכים משפטיים נגד מנורה. התנהגות שכזו מתיישבת עם ערכים של תחרות חופשית. עם זאת כאשר אריאל התחייבה מראש שלא לנקוט הליכים משפטיים נגד מנורה, ועשתה כן בתמורה לטובת הנאה שקיבלה, הרי שבכך התגבשה הכבילה האסורה. למעלה מן הדרוש אוסיף כי את הקביעה שלפיה את התחייבותה של אריאל יש לפרש כהתחייבות להימנע מנקיטתם של הליכים משפטיים גרדא, קשה ליישב עם לשונו המפורשת של ההסכם, שאותו עיצבו הצדדים בעצמם, והכוונה להתחייבות זו: "</w:t>
      </w:r>
      <w:r w:rsidRPr="00B8078F">
        <w:rPr>
          <w:rFonts w:cs="Miriam" w:hint="cs"/>
          <w:szCs w:val="19"/>
          <w:rtl/>
        </w:rPr>
        <w:t>אריאל או הרשלום</w:t>
      </w:r>
      <w:r w:rsidR="00B8078F">
        <w:rPr>
          <w:rFonts w:hint="cs"/>
          <w:rtl/>
        </w:rPr>
        <w:t>...</w:t>
      </w:r>
      <w:r w:rsidRPr="008145AD">
        <w:rPr>
          <w:rFonts w:cs="Miriam" w:hint="cs"/>
          <w:sz w:val="24"/>
          <w:rtl/>
        </w:rPr>
        <w:t xml:space="preserve"> </w:t>
      </w:r>
      <w:r w:rsidRPr="00B8078F">
        <w:rPr>
          <w:rFonts w:cs="Miriam" w:hint="cs"/>
          <w:szCs w:val="19"/>
          <w:rtl/>
        </w:rPr>
        <w:t>לא יחתמו על הסכם עם עיריית חיפה</w:t>
      </w:r>
      <w:r>
        <w:rPr>
          <w:rFonts w:hint="cs"/>
          <w:rtl/>
        </w:rPr>
        <w:t>".</w:t>
      </w:r>
    </w:p>
    <w:p w:rsidR="00D35634" w:rsidRDefault="006A180F" w:rsidP="006A180F">
      <w:pPr>
        <w:pStyle w:val="a"/>
        <w:rPr>
          <w:rtl/>
        </w:rPr>
      </w:pPr>
      <w:r>
        <w:rPr>
          <w:rFonts w:hint="cs"/>
          <w:rtl/>
        </w:rPr>
        <w:t>20.</w:t>
      </w:r>
      <w:r>
        <w:rPr>
          <w:rFonts w:hint="cs"/>
          <w:rtl/>
        </w:rPr>
        <w:tab/>
        <w:t xml:space="preserve">על יסוד "מוחלטותה" של החזקה בדבר חלוקת שוק יש לדחות גם את טענת המשיבים שלפיה בחיפה ממילא לא הייתה תחרות, מה שגרם לטענתם לכך ש"הוויתור" על חיפה לא היה ויתור על פלח שוק פוטנציאלי. קבלתה של טענה זו, כמו גם טענות אחרות שהועלו על ידי המשיבים ושנועדו להראות כי ההסדר לא גרר פגיעה בתחרות, יש בה כדי לרוקן את רשימת החזקות החלוטות מתוכנן. ועוד, דינה של טענה זו להידחות גם לגופה, שכן אם תאמר כי בחיפה ממילא לא הייתה תחרות, וכי זכייתה של מנורה הייתה מובטחת, לא ברור כלל על שום מה היא ראתה לנכון לכרות הסכם עם אריאל אשר במסגרתו התחייבה לשלם לה תמורה כנגד התחייבותה של אריאל "שלא לנקוט נגדה הליכים משפטיים", מינוח שלהשקפתי אינו אלא כסות להתחייבותה של אריאל שלא להתחרות במנורה. </w:t>
      </w:r>
      <w:r w:rsidRPr="0044348A">
        <w:rPr>
          <w:rFonts w:hint="cs"/>
          <w:rtl/>
        </w:rPr>
        <w:t xml:space="preserve">אם תוסיף לכך את הנתון </w:t>
      </w:r>
      <w:r>
        <w:rPr>
          <w:rFonts w:hint="cs"/>
          <w:rtl/>
        </w:rPr>
        <w:t>ש</w:t>
      </w:r>
      <w:r w:rsidRPr="0044348A">
        <w:rPr>
          <w:rFonts w:hint="cs"/>
          <w:rtl/>
        </w:rPr>
        <w:t xml:space="preserve">הצעתה הזוכה של מנורה </w:t>
      </w:r>
    </w:p>
    <w:p w:rsidR="006A180F" w:rsidRDefault="00D35634" w:rsidP="00D35634">
      <w:pPr>
        <w:pStyle w:val="a"/>
        <w:ind w:firstLine="0"/>
        <w:rPr>
          <w:rFonts w:hint="cs"/>
          <w:rtl/>
        </w:rPr>
      </w:pPr>
      <w:r>
        <w:rPr>
          <w:rtl/>
        </w:rPr>
        <w:br w:type="page"/>
      </w:r>
      <w:r w:rsidR="006A180F" w:rsidRPr="0044348A">
        <w:rPr>
          <w:rFonts w:hint="cs"/>
          <w:rtl/>
        </w:rPr>
        <w:t xml:space="preserve">במכרז חיפה הייתה גבוהה באופן </w:t>
      </w:r>
      <w:r w:rsidR="006A180F">
        <w:rPr>
          <w:rFonts w:hint="cs"/>
          <w:rtl/>
        </w:rPr>
        <w:t>ניכר</w:t>
      </w:r>
      <w:r w:rsidR="006A180F" w:rsidRPr="0044348A">
        <w:rPr>
          <w:rFonts w:hint="cs"/>
          <w:rtl/>
        </w:rPr>
        <w:t xml:space="preserve"> מאומדן העירייה, כי אז </w:t>
      </w:r>
      <w:r w:rsidR="006A180F">
        <w:rPr>
          <w:rFonts w:hint="cs"/>
          <w:rtl/>
        </w:rPr>
        <w:t xml:space="preserve">אין מנוס מהמסקנה כי </w:t>
      </w:r>
      <w:r w:rsidR="006A180F" w:rsidRPr="0044348A">
        <w:rPr>
          <w:rFonts w:hint="cs"/>
          <w:rtl/>
        </w:rPr>
        <w:t xml:space="preserve">טענות הצדדים </w:t>
      </w:r>
      <w:r w:rsidR="006A180F">
        <w:rPr>
          <w:rFonts w:hint="cs"/>
          <w:rtl/>
        </w:rPr>
        <w:t xml:space="preserve">להסכם </w:t>
      </w:r>
      <w:r w:rsidR="006A180F" w:rsidRPr="0044348A">
        <w:rPr>
          <w:rFonts w:hint="cs"/>
          <w:rtl/>
        </w:rPr>
        <w:t xml:space="preserve">וקביעתו של בית משפט קמא </w:t>
      </w:r>
      <w:r w:rsidR="006A180F">
        <w:rPr>
          <w:rFonts w:hint="cs"/>
          <w:rtl/>
        </w:rPr>
        <w:t>ש</w:t>
      </w:r>
      <w:r w:rsidR="006A180F" w:rsidRPr="0044348A">
        <w:rPr>
          <w:rFonts w:hint="cs"/>
          <w:rtl/>
        </w:rPr>
        <w:t xml:space="preserve">לפיהן לא נגרמה פגיעה </w:t>
      </w:r>
      <w:r w:rsidR="006A180F">
        <w:rPr>
          <w:rFonts w:hint="cs"/>
          <w:rtl/>
        </w:rPr>
        <w:t xml:space="preserve">כלשהי </w:t>
      </w:r>
      <w:r w:rsidR="006A180F" w:rsidRPr="0044348A">
        <w:rPr>
          <w:rFonts w:hint="cs"/>
          <w:rtl/>
        </w:rPr>
        <w:t xml:space="preserve">בתחרות, </w:t>
      </w:r>
      <w:r w:rsidR="006A180F">
        <w:rPr>
          <w:rFonts w:hint="cs"/>
          <w:rtl/>
        </w:rPr>
        <w:t>אינן עומדות במבחן הביקורת.</w:t>
      </w:r>
    </w:p>
    <w:p w:rsidR="006A180F" w:rsidRDefault="006A180F" w:rsidP="006A180F">
      <w:pPr>
        <w:pStyle w:val="a"/>
        <w:rPr>
          <w:rFonts w:hint="cs"/>
          <w:rtl/>
        </w:rPr>
      </w:pPr>
      <w:r>
        <w:rPr>
          <w:rFonts w:hint="cs"/>
          <w:rtl/>
        </w:rPr>
        <w:t>ועוד, המקרה שבפנינו אינו מסוג המקרים שראוי להחריג מתחולתו של חוק ההגבלים על דרך של פרשנות תכליתית. אדרבה, הסדרים מסוג זה הנדון הם בדיוק ההסדרים שביקש המחוקק למנוע באשר הם חלק מאיסורי הליבה של דיני ההגבלים העסקיים.</w:t>
      </w:r>
    </w:p>
    <w:p w:rsidR="006A180F" w:rsidRDefault="006A180F" w:rsidP="006A180F">
      <w:pPr>
        <w:pStyle w:val="a"/>
        <w:rPr>
          <w:rFonts w:hint="cs"/>
          <w:rtl/>
        </w:rPr>
      </w:pPr>
      <w:r>
        <w:rPr>
          <w:rFonts w:hint="cs"/>
          <w:rtl/>
        </w:rPr>
        <w:t>21.</w:t>
      </w:r>
      <w:r>
        <w:rPr>
          <w:rFonts w:hint="cs"/>
          <w:rtl/>
        </w:rPr>
        <w:tab/>
        <w:t xml:space="preserve">גם בטענותיו של המשיב 2, הרשלום, כי לא נתקיימו בעניינו דרישותיו של היסוד הנפשי שבעבירה, אין ממש. היסוד הנפשי הנדרש לשם הוכחתה של עבירת הסדר כובל הוא של מחשבה פלילית שעניינה מודעותו של העושה לכל רכיביו של היסוד העובדתי של העבירה, ולהם בלבד. מכאן שטענתו של הרשלום כי לא היה מודע לפגיעה בתחרות או לקיומה של תחרות בחיפה, היא בבחינת טענה חסרת נפקות בהקשר של החזקה החלוטה בדבר חלוקת שוק לפי </w:t>
      </w:r>
      <w:hyperlink r:id="rId157" w:history="1">
        <w:r w:rsidR="0025156A" w:rsidRPr="0025156A">
          <w:rPr>
            <w:color w:val="0000FF"/>
            <w:u w:val="single"/>
            <w:rtl/>
          </w:rPr>
          <w:t>סעיף 2(ב)(3)</w:t>
        </w:r>
      </w:hyperlink>
      <w:r>
        <w:rPr>
          <w:rFonts w:hint="cs"/>
          <w:rtl/>
        </w:rPr>
        <w:t>. כפי שראינו, במסגרת היסוד העובדתי של סעיף זה אין כל דרישה לפגיעה בתחרות או לפוטנציאל של פגיעה כזו, ומשכך, גם אין צורך במודעות העושה לקיומו של יסוד זה.</w:t>
      </w:r>
      <w:r w:rsidR="00BA5973">
        <w:rPr>
          <w:rFonts w:hint="cs"/>
          <w:rtl/>
        </w:rPr>
        <w:t xml:space="preserve"> </w:t>
      </w:r>
    </w:p>
    <w:p w:rsidR="006A180F" w:rsidRDefault="006A180F" w:rsidP="006A180F">
      <w:pPr>
        <w:pStyle w:val="a"/>
        <w:rPr>
          <w:rFonts w:hint="cs"/>
          <w:rtl/>
        </w:rPr>
      </w:pPr>
      <w:r>
        <w:rPr>
          <w:rFonts w:hint="cs"/>
          <w:rtl/>
        </w:rPr>
        <w:t>משמצאנו כי במעשיהם של המשיבים השתכללה עבירת ההסדר הכובל, נבחן עתה אם קביעתו של בית משפט קמא בדבר תחולתה של הגנת זוטי הדברים על המקרה שבפנינו היא החלטה ראויה. לשם כך נעמוד בראשית הדברים על מהותה של הגנה זו.</w:t>
      </w:r>
    </w:p>
    <w:p w:rsidR="006A180F" w:rsidRPr="00417F6B" w:rsidRDefault="006A180F" w:rsidP="003D631E">
      <w:pPr>
        <w:pStyle w:val="a"/>
        <w:rPr>
          <w:rFonts w:hint="cs"/>
          <w:rtl/>
        </w:rPr>
      </w:pPr>
      <w:r w:rsidRPr="003D631E">
        <w:rPr>
          <w:rFonts w:cs="Miriam" w:hint="cs"/>
          <w:szCs w:val="19"/>
          <w:rtl/>
        </w:rPr>
        <w:t>ההגנה בדבר זוטי דברים</w:t>
      </w:r>
    </w:p>
    <w:p w:rsidR="003D631E" w:rsidRDefault="006A180F" w:rsidP="00D802CA">
      <w:pPr>
        <w:pStyle w:val="a"/>
        <w:rPr>
          <w:rFonts w:hint="cs"/>
          <w:rtl/>
        </w:rPr>
      </w:pPr>
      <w:r>
        <w:rPr>
          <w:rFonts w:hint="cs"/>
          <w:rtl/>
        </w:rPr>
        <w:t>22.</w:t>
      </w:r>
      <w:r w:rsidRPr="00417F6B">
        <w:rPr>
          <w:rFonts w:hint="cs"/>
          <w:rtl/>
        </w:rPr>
        <w:tab/>
        <w:t xml:space="preserve">בשנת </w:t>
      </w:r>
      <w:r>
        <w:rPr>
          <w:rFonts w:hint="cs"/>
          <w:rtl/>
        </w:rPr>
        <w:t>1995</w:t>
      </w:r>
      <w:r w:rsidRPr="00417F6B">
        <w:rPr>
          <w:rFonts w:hint="cs"/>
          <w:rtl/>
        </w:rPr>
        <w:t xml:space="preserve"> נכנס לתוקף </w:t>
      </w:r>
      <w:r w:rsidR="00D802CA">
        <w:rPr>
          <w:rFonts w:hint="cs"/>
          <w:rtl/>
        </w:rPr>
        <w:t>תיקון לחוק העונשין ב</w:t>
      </w:r>
      <w:r w:rsidRPr="00417F6B">
        <w:rPr>
          <w:rFonts w:hint="cs"/>
          <w:rtl/>
        </w:rPr>
        <w:t xml:space="preserve">חוק העונשין </w:t>
      </w:r>
      <w:r w:rsidR="003D631E">
        <w:rPr>
          <w:rFonts w:hint="cs"/>
          <w:rtl/>
        </w:rPr>
        <w:t>(</w:t>
      </w:r>
      <w:r w:rsidR="003D631E" w:rsidRPr="00417F6B">
        <w:rPr>
          <w:rFonts w:hint="cs"/>
          <w:rtl/>
        </w:rPr>
        <w:t>תיקון</w:t>
      </w:r>
      <w:r w:rsidR="003D631E">
        <w:rPr>
          <w:rFonts w:hint="cs"/>
          <w:rtl/>
        </w:rPr>
        <w:t xml:space="preserve"> מס'</w:t>
      </w:r>
      <w:r w:rsidR="003D631E" w:rsidRPr="00417F6B">
        <w:rPr>
          <w:rFonts w:hint="cs"/>
          <w:rtl/>
        </w:rPr>
        <w:t xml:space="preserve"> 39</w:t>
      </w:r>
      <w:r w:rsidR="003D631E">
        <w:rPr>
          <w:rFonts w:hint="cs"/>
          <w:rtl/>
        </w:rPr>
        <w:t xml:space="preserve">) </w:t>
      </w:r>
      <w:r w:rsidRPr="00417F6B">
        <w:rPr>
          <w:rFonts w:hint="cs"/>
          <w:rtl/>
        </w:rPr>
        <w:t>(חלק מקדמי וחלק כללי), תשנ"ד</w:t>
      </w:r>
      <w:r>
        <w:rPr>
          <w:rFonts w:hint="cs"/>
          <w:rtl/>
        </w:rPr>
        <w:t>-</w:t>
      </w:r>
      <w:r w:rsidRPr="00417F6B">
        <w:rPr>
          <w:rFonts w:hint="cs"/>
          <w:rtl/>
        </w:rPr>
        <w:t>1994</w:t>
      </w:r>
      <w:r>
        <w:rPr>
          <w:rFonts w:hint="cs"/>
          <w:rtl/>
        </w:rPr>
        <w:t xml:space="preserve"> </w:t>
      </w:r>
      <w:r w:rsidRPr="00417F6B">
        <w:rPr>
          <w:rFonts w:hint="cs"/>
          <w:rtl/>
        </w:rPr>
        <w:t>(להלן</w:t>
      </w:r>
      <w:r w:rsidR="003D631E">
        <w:rPr>
          <w:rFonts w:hint="cs"/>
          <w:rtl/>
        </w:rPr>
        <w:t xml:space="preserve"> – </w:t>
      </w:r>
      <w:r w:rsidRPr="00417F6B">
        <w:rPr>
          <w:rFonts w:hint="cs"/>
          <w:rtl/>
        </w:rPr>
        <w:t>תיקון 39), ובהוראותי</w:t>
      </w:r>
      <w:r>
        <w:rPr>
          <w:rFonts w:hint="cs"/>
          <w:rtl/>
        </w:rPr>
        <w:t>ו החדשות</w:t>
      </w:r>
      <w:r w:rsidR="00D802CA">
        <w:rPr>
          <w:rFonts w:hint="cs"/>
          <w:rtl/>
        </w:rPr>
        <w:t xml:space="preserve"> של חוק העונשין</w:t>
      </w:r>
      <w:r>
        <w:rPr>
          <w:rFonts w:hint="cs"/>
          <w:rtl/>
        </w:rPr>
        <w:t xml:space="preserve"> נכלל </w:t>
      </w:r>
      <w:hyperlink r:id="rId158" w:history="1">
        <w:r w:rsidR="00323C68" w:rsidRPr="00323C68">
          <w:rPr>
            <w:color w:val="0000FF"/>
            <w:u w:val="single"/>
            <w:rtl/>
          </w:rPr>
          <w:t>סעיף 34יז</w:t>
        </w:r>
      </w:hyperlink>
      <w:r w:rsidRPr="00417F6B">
        <w:rPr>
          <w:rFonts w:hint="cs"/>
          <w:rtl/>
        </w:rPr>
        <w:t>,</w:t>
      </w:r>
      <w:r>
        <w:rPr>
          <w:rFonts w:hint="cs"/>
          <w:rtl/>
        </w:rPr>
        <w:t xml:space="preserve"> </w:t>
      </w:r>
      <w:r w:rsidRPr="00417F6B">
        <w:rPr>
          <w:rFonts w:hint="cs"/>
          <w:rtl/>
        </w:rPr>
        <w:t>אשר קובע:</w:t>
      </w:r>
    </w:p>
    <w:tbl>
      <w:tblPr>
        <w:bidiVisual/>
        <w:tblW w:w="0" w:type="auto"/>
        <w:tblInd w:w="392" w:type="dxa"/>
        <w:tblLayout w:type="fixed"/>
        <w:tblLook w:val="01E0" w:firstRow="1" w:lastRow="1" w:firstColumn="1" w:lastColumn="1" w:noHBand="0" w:noVBand="0"/>
      </w:tblPr>
      <w:tblGrid>
        <w:gridCol w:w="1190"/>
        <w:gridCol w:w="5091"/>
      </w:tblGrid>
      <w:tr w:rsidR="003D631E" w:rsidRPr="00323734">
        <w:tc>
          <w:tcPr>
            <w:tcW w:w="1190" w:type="dxa"/>
          </w:tcPr>
          <w:p w:rsidR="003D631E" w:rsidRPr="00323734" w:rsidRDefault="003D631E" w:rsidP="00323734">
            <w:pPr>
              <w:pStyle w:val="a4"/>
              <w:spacing w:before="40" w:after="0" w:line="220" w:lineRule="exact"/>
              <w:ind w:left="0" w:right="34"/>
              <w:rPr>
                <w:rStyle w:val="default"/>
                <w:rFonts w:cs="FrankRuehl" w:hint="cs"/>
                <w:sz w:val="20"/>
                <w:szCs w:val="24"/>
                <w:rtl/>
              </w:rPr>
            </w:pPr>
            <w:r w:rsidRPr="00323734">
              <w:rPr>
                <w:rStyle w:val="default"/>
                <w:rFonts w:cs="FrankRuehl" w:hint="cs"/>
                <w:sz w:val="20"/>
                <w:szCs w:val="24"/>
                <w:rtl/>
              </w:rPr>
              <w:t>"</w:t>
            </w:r>
            <w:r w:rsidRPr="00323734">
              <w:rPr>
                <w:rStyle w:val="default"/>
                <w:rFonts w:cs="FrankRuehl" w:hint="cs"/>
                <w:sz w:val="18"/>
                <w:szCs w:val="22"/>
                <w:rtl/>
              </w:rPr>
              <w:t>זוטי דברים</w:t>
            </w:r>
            <w:r w:rsidRPr="00323734">
              <w:rPr>
                <w:rStyle w:val="default"/>
                <w:rFonts w:cs="FrankRuehl" w:hint="eastAsia"/>
                <w:sz w:val="18"/>
                <w:szCs w:val="22"/>
                <w:rtl/>
              </w:rPr>
              <w:t> </w:t>
            </w:r>
          </w:p>
        </w:tc>
        <w:tc>
          <w:tcPr>
            <w:tcW w:w="5091" w:type="dxa"/>
          </w:tcPr>
          <w:p w:rsidR="003D631E" w:rsidRPr="00F17502" w:rsidRDefault="003D631E" w:rsidP="00323734">
            <w:pPr>
              <w:pStyle w:val="a4"/>
              <w:ind w:left="459" w:right="362" w:hanging="459"/>
              <w:rPr>
                <w:rStyle w:val="default"/>
                <w:rFonts w:hint="cs"/>
                <w:rtl/>
              </w:rPr>
            </w:pPr>
            <w:r>
              <w:rPr>
                <w:rFonts w:hint="cs"/>
                <w:rtl/>
              </w:rPr>
              <w:t xml:space="preserve">34יז. </w:t>
            </w:r>
            <w:r w:rsidRPr="00323734">
              <w:rPr>
                <w:rFonts w:hint="cs"/>
                <w:sz w:val="28"/>
                <w:rtl/>
              </w:rPr>
              <w:t>לא יישא אדם באחריות פלילית למעשה, אם, לאור טיבו של המעשה, נסיבותיו, תוצאותיו והאינטרס הציבורי, המעשה הוא קל ערך</w:t>
            </w:r>
            <w:r>
              <w:rPr>
                <w:rFonts w:hint="cs"/>
                <w:rtl/>
              </w:rPr>
              <w:t>".</w:t>
            </w:r>
          </w:p>
        </w:tc>
      </w:tr>
    </w:tbl>
    <w:p w:rsidR="00D35634" w:rsidRDefault="003D631E" w:rsidP="003D631E">
      <w:pPr>
        <w:pStyle w:val="a"/>
        <w:rPr>
          <w:rtl/>
        </w:rPr>
      </w:pPr>
      <w:r>
        <w:rPr>
          <w:rFonts w:hint="cs"/>
          <w:rtl/>
        </w:rPr>
        <w:t xml:space="preserve">הגנת </w:t>
      </w:r>
      <w:r w:rsidR="006A180F">
        <w:rPr>
          <w:rFonts w:hint="cs"/>
          <w:rtl/>
        </w:rPr>
        <w:t xml:space="preserve">זוטי הדברים אמנם מעוגנת בחלקו הכללי של חוק העונשין, אולם הרעיון הגלום בה </w:t>
      </w:r>
      <w:r w:rsidR="006A180F" w:rsidRPr="00417F6B">
        <w:rPr>
          <w:rFonts w:hint="cs"/>
          <w:rtl/>
        </w:rPr>
        <w:t>אינו מצמצם עצמו אך ורק לדיני העונשי</w:t>
      </w:r>
      <w:r w:rsidR="006A180F">
        <w:rPr>
          <w:rFonts w:hint="cs"/>
          <w:rtl/>
        </w:rPr>
        <w:t xml:space="preserve">ן. תחולתו של סייג זה רחבה בהרבה, והעיקרון הניצב בבסיסו מחלחל </w:t>
      </w:r>
      <w:r w:rsidR="006A180F" w:rsidRPr="00417F6B">
        <w:rPr>
          <w:rFonts w:hint="cs"/>
          <w:rtl/>
        </w:rPr>
        <w:t>לתחומי משפט שונים ומגוונים כגון נזיקין, קני</w:t>
      </w:r>
      <w:r w:rsidR="006A180F">
        <w:rPr>
          <w:rFonts w:hint="cs"/>
          <w:rtl/>
        </w:rPr>
        <w:t>י</w:t>
      </w:r>
      <w:r w:rsidR="006A180F" w:rsidRPr="00417F6B">
        <w:rPr>
          <w:rFonts w:hint="cs"/>
          <w:rtl/>
        </w:rPr>
        <w:t xml:space="preserve">ן </w:t>
      </w:r>
    </w:p>
    <w:p w:rsidR="006A180F" w:rsidRPr="00417F6B" w:rsidRDefault="00D35634" w:rsidP="00D35634">
      <w:pPr>
        <w:pStyle w:val="a"/>
        <w:ind w:firstLine="0"/>
        <w:rPr>
          <w:rFonts w:hint="cs"/>
          <w:rtl/>
        </w:rPr>
      </w:pPr>
      <w:r>
        <w:rPr>
          <w:rtl/>
        </w:rPr>
        <w:br w:type="page"/>
      </w:r>
      <w:r w:rsidR="006A180F" w:rsidRPr="00417F6B">
        <w:rPr>
          <w:rFonts w:hint="cs"/>
          <w:rtl/>
        </w:rPr>
        <w:t xml:space="preserve">ומשפט חוקתי וזכויות אדם (ראה </w:t>
      </w:r>
      <w:hyperlink r:id="rId159" w:history="1">
        <w:r w:rsidR="004C5B7C" w:rsidRPr="00AD4D63">
          <w:rPr>
            <w:rStyle w:val="Hyperlink"/>
            <w:rFonts w:cs="Miriam"/>
            <w:szCs w:val="19"/>
            <w:rtl/>
          </w:rPr>
          <w:t>ע"א 3901/96</w:t>
        </w:r>
      </w:hyperlink>
      <w:r w:rsidR="003D631E" w:rsidRPr="003D631E">
        <w:rPr>
          <w:rFonts w:cs="Miriam"/>
          <w:szCs w:val="19"/>
          <w:rtl/>
        </w:rPr>
        <w:t xml:space="preserve"> הוועדה המקומית לתכנון ולבנייה, רעננה נ' הורוויץ</w:t>
      </w:r>
      <w:r w:rsidR="003D631E">
        <w:rPr>
          <w:rFonts w:cs="Miriam" w:hint="cs"/>
          <w:szCs w:val="19"/>
          <w:rtl/>
        </w:rPr>
        <w:t xml:space="preserve"> [7]</w:t>
      </w:r>
      <w:r w:rsidR="006A180F" w:rsidRPr="00417F6B">
        <w:rPr>
          <w:rFonts w:hint="cs"/>
          <w:rtl/>
        </w:rPr>
        <w:t>,</w:t>
      </w:r>
      <w:r w:rsidR="003D631E">
        <w:rPr>
          <w:rFonts w:hint="cs"/>
          <w:rtl/>
        </w:rPr>
        <w:t xml:space="preserve"> </w:t>
      </w:r>
      <w:r w:rsidR="003D631E">
        <w:rPr>
          <w:rFonts w:cs="Miriam" w:hint="cs"/>
          <w:szCs w:val="19"/>
          <w:rtl/>
        </w:rPr>
        <w:t>בעמ'</w:t>
      </w:r>
      <w:r w:rsidR="006A180F" w:rsidRPr="003D631E">
        <w:rPr>
          <w:rFonts w:cs="Miriam" w:hint="cs"/>
          <w:szCs w:val="19"/>
          <w:rtl/>
        </w:rPr>
        <w:t xml:space="preserve"> 929-928</w:t>
      </w:r>
      <w:r w:rsidR="006A180F" w:rsidRPr="00417F6B">
        <w:rPr>
          <w:rFonts w:hint="cs"/>
          <w:rtl/>
        </w:rPr>
        <w:t xml:space="preserve">). </w:t>
      </w:r>
    </w:p>
    <w:p w:rsidR="006A180F" w:rsidRPr="00417F6B" w:rsidRDefault="006A180F" w:rsidP="00D802CA">
      <w:pPr>
        <w:pStyle w:val="a"/>
        <w:rPr>
          <w:rFonts w:hint="cs"/>
          <w:rtl/>
        </w:rPr>
      </w:pPr>
      <w:r>
        <w:rPr>
          <w:rFonts w:hint="cs"/>
          <w:rtl/>
        </w:rPr>
        <w:t>23.</w:t>
      </w:r>
      <w:r>
        <w:rPr>
          <w:rFonts w:hint="cs"/>
          <w:rtl/>
        </w:rPr>
        <w:tab/>
      </w:r>
      <w:r w:rsidRPr="00417F6B">
        <w:rPr>
          <w:rFonts w:hint="cs"/>
          <w:rtl/>
        </w:rPr>
        <w:t>על משמעותו, פרשנותו והשלכ</w:t>
      </w:r>
      <w:r>
        <w:rPr>
          <w:rFonts w:hint="cs"/>
          <w:rtl/>
        </w:rPr>
        <w:t>ו</w:t>
      </w:r>
      <w:r w:rsidRPr="00417F6B">
        <w:rPr>
          <w:rFonts w:hint="cs"/>
          <w:rtl/>
        </w:rPr>
        <w:t>ת</w:t>
      </w:r>
      <w:r>
        <w:rPr>
          <w:rFonts w:hint="cs"/>
          <w:rtl/>
        </w:rPr>
        <w:t>י</w:t>
      </w:r>
      <w:r w:rsidRPr="00417F6B">
        <w:rPr>
          <w:rFonts w:hint="cs"/>
          <w:rtl/>
        </w:rPr>
        <w:t>ו של סעיף זה ארחיב בהמשך</w:t>
      </w:r>
      <w:r>
        <w:rPr>
          <w:rFonts w:hint="cs"/>
          <w:rtl/>
        </w:rPr>
        <w:t>,</w:t>
      </w:r>
      <w:r w:rsidRPr="00417F6B">
        <w:rPr>
          <w:rFonts w:hint="cs"/>
          <w:rtl/>
        </w:rPr>
        <w:t xml:space="preserve"> אולם </w:t>
      </w:r>
      <w:r>
        <w:rPr>
          <w:rFonts w:hint="cs"/>
          <w:rtl/>
        </w:rPr>
        <w:t>ב</w:t>
      </w:r>
      <w:r w:rsidRPr="00417F6B">
        <w:rPr>
          <w:rFonts w:hint="cs"/>
          <w:rtl/>
        </w:rPr>
        <w:t xml:space="preserve">טרם אעשה זאת ברצוני לעמוד על המצב שקדם לחקיקת הסעיף. בחינתו של ההליך הפלילי לפני תיקון 39 מגלה כי בכל שלב משלביו של ההליך </w:t>
      </w:r>
      <w:r>
        <w:rPr>
          <w:rFonts w:hint="eastAsia"/>
          <w:rtl/>
        </w:rPr>
        <w:t>–</w:t>
      </w:r>
      <w:r>
        <w:rPr>
          <w:rFonts w:hint="cs"/>
          <w:rtl/>
        </w:rPr>
        <w:t xml:space="preserve"> </w:t>
      </w:r>
      <w:r w:rsidRPr="00417F6B">
        <w:rPr>
          <w:rFonts w:hint="cs"/>
          <w:rtl/>
        </w:rPr>
        <w:t xml:space="preserve">אם בחקירה, </w:t>
      </w:r>
      <w:r>
        <w:rPr>
          <w:rFonts w:hint="cs"/>
          <w:rtl/>
        </w:rPr>
        <w:t>אם</w:t>
      </w:r>
      <w:r w:rsidRPr="00417F6B">
        <w:rPr>
          <w:rFonts w:hint="cs"/>
          <w:rtl/>
        </w:rPr>
        <w:t xml:space="preserve"> בה</w:t>
      </w:r>
      <w:r>
        <w:rPr>
          <w:rFonts w:hint="cs"/>
          <w:rtl/>
        </w:rPr>
        <w:t xml:space="preserve">כנת כתב אישום ואם בחנינה </w:t>
      </w:r>
      <w:r>
        <w:rPr>
          <w:rFonts w:hint="eastAsia"/>
          <w:rtl/>
        </w:rPr>
        <w:t>–</w:t>
      </w:r>
      <w:r>
        <w:rPr>
          <w:rFonts w:hint="cs"/>
          <w:rtl/>
        </w:rPr>
        <w:t xml:space="preserve"> ניתן לגורמים שונים המעורבים בו שיקול דעת לעצירתו. כך למשל</w:t>
      </w:r>
      <w:r w:rsidRPr="00417F6B">
        <w:rPr>
          <w:rFonts w:hint="cs"/>
          <w:rtl/>
        </w:rPr>
        <w:t xml:space="preserve"> </w:t>
      </w:r>
      <w:hyperlink r:id="rId160" w:history="1">
        <w:r w:rsidR="00323C68" w:rsidRPr="00323C68">
          <w:rPr>
            <w:color w:val="0000FF"/>
            <w:u w:val="single"/>
            <w:rtl/>
          </w:rPr>
          <w:t>סעיף 59</w:t>
        </w:r>
      </w:hyperlink>
      <w:r w:rsidRPr="00417F6B">
        <w:rPr>
          <w:rFonts w:hint="cs"/>
          <w:rtl/>
        </w:rPr>
        <w:t xml:space="preserve"> ל</w:t>
      </w:r>
      <w:hyperlink r:id="rId161" w:history="1">
        <w:r w:rsidR="00A7624C" w:rsidRPr="00A7624C">
          <w:rPr>
            <w:rStyle w:val="Hyperlink"/>
            <w:rtl/>
          </w:rPr>
          <w:t>חוק סדר הדין הפלילי</w:t>
        </w:r>
      </w:hyperlink>
      <w:r w:rsidR="004C5B7C" w:rsidRPr="00A7624C">
        <w:rPr>
          <w:rtl/>
        </w:rPr>
        <w:t xml:space="preserve"> [נוסח משולב]</w:t>
      </w:r>
      <w:r w:rsidRPr="00417F6B">
        <w:rPr>
          <w:rFonts w:hint="cs"/>
          <w:rtl/>
        </w:rPr>
        <w:t>, תשמ"ב-1982 נתן בידיו של קצין משטרה את הסמכות שלא לפתוח בחקירה בשל חוסר עניין לציבור</w:t>
      </w:r>
      <w:r>
        <w:rPr>
          <w:rFonts w:hint="cs"/>
          <w:rtl/>
        </w:rPr>
        <w:t xml:space="preserve">, </w:t>
      </w:r>
      <w:hyperlink r:id="rId162" w:history="1">
        <w:r w:rsidR="00323C68" w:rsidRPr="00323C68">
          <w:rPr>
            <w:color w:val="0000FF"/>
            <w:u w:val="single"/>
            <w:rtl/>
          </w:rPr>
          <w:t>וסעיף 62</w:t>
        </w:r>
      </w:hyperlink>
      <w:r w:rsidRPr="00417F6B">
        <w:rPr>
          <w:rFonts w:hint="cs"/>
          <w:rtl/>
        </w:rPr>
        <w:t xml:space="preserve"> לאותו חוק א</w:t>
      </w:r>
      <w:r>
        <w:rPr>
          <w:rFonts w:hint="cs"/>
          <w:rtl/>
        </w:rPr>
        <w:t>י</w:t>
      </w:r>
      <w:r w:rsidRPr="00417F6B">
        <w:rPr>
          <w:rFonts w:hint="cs"/>
          <w:rtl/>
        </w:rPr>
        <w:t>פשר לתובע</w:t>
      </w:r>
      <w:r>
        <w:rPr>
          <w:rFonts w:hint="cs"/>
          <w:rtl/>
        </w:rPr>
        <w:t>,</w:t>
      </w:r>
      <w:r w:rsidRPr="00417F6B">
        <w:rPr>
          <w:rFonts w:hint="cs"/>
          <w:rtl/>
        </w:rPr>
        <w:t xml:space="preserve"> </w:t>
      </w:r>
      <w:r>
        <w:rPr>
          <w:rFonts w:hint="cs"/>
          <w:rtl/>
        </w:rPr>
        <w:t>ש</w:t>
      </w:r>
      <w:r w:rsidRPr="00417F6B">
        <w:rPr>
          <w:rFonts w:hint="cs"/>
          <w:rtl/>
        </w:rPr>
        <w:t xml:space="preserve">בידיו </w:t>
      </w:r>
      <w:r>
        <w:rPr>
          <w:rFonts w:hint="cs"/>
          <w:rtl/>
        </w:rPr>
        <w:t xml:space="preserve">נמצא </w:t>
      </w:r>
      <w:r w:rsidRPr="00417F6B">
        <w:rPr>
          <w:rFonts w:hint="cs"/>
          <w:rtl/>
        </w:rPr>
        <w:t>חומר ראיות מספיק לשם העמדה לדין</w:t>
      </w:r>
      <w:r>
        <w:rPr>
          <w:rFonts w:hint="cs"/>
          <w:rtl/>
        </w:rPr>
        <w:t>,</w:t>
      </w:r>
      <w:r w:rsidRPr="00417F6B">
        <w:rPr>
          <w:rFonts w:hint="cs"/>
          <w:rtl/>
        </w:rPr>
        <w:t xml:space="preserve"> </w:t>
      </w:r>
      <w:r>
        <w:rPr>
          <w:rFonts w:hint="cs"/>
          <w:rtl/>
        </w:rPr>
        <w:t>ש</w:t>
      </w:r>
      <w:r w:rsidRPr="00417F6B">
        <w:rPr>
          <w:rFonts w:hint="cs"/>
          <w:rtl/>
        </w:rPr>
        <w:t>לא לעשות כן</w:t>
      </w:r>
      <w:r>
        <w:rPr>
          <w:rFonts w:hint="cs"/>
          <w:rtl/>
        </w:rPr>
        <w:t xml:space="preserve"> אם מצא כי </w:t>
      </w:r>
      <w:r w:rsidRPr="00417F6B">
        <w:rPr>
          <w:rFonts w:hint="cs"/>
          <w:rtl/>
        </w:rPr>
        <w:t>אין ב</w:t>
      </w:r>
      <w:r>
        <w:rPr>
          <w:rFonts w:hint="cs"/>
          <w:rtl/>
        </w:rPr>
        <w:t>קיומו של ה</w:t>
      </w:r>
      <w:r w:rsidRPr="00417F6B">
        <w:rPr>
          <w:rFonts w:hint="cs"/>
          <w:rtl/>
        </w:rPr>
        <w:t>משפט עניין לציבור. הגוף היחיד שלא ניתן בידיו שיקו</w:t>
      </w:r>
      <w:r>
        <w:rPr>
          <w:rFonts w:hint="cs"/>
          <w:rtl/>
        </w:rPr>
        <w:t>ל דעת דומה</w:t>
      </w:r>
      <w:r w:rsidRPr="00417F6B">
        <w:rPr>
          <w:rFonts w:hint="cs"/>
          <w:rtl/>
        </w:rPr>
        <w:t xml:space="preserve"> הוא בית המשפט. אמנם, החלטה בלתי סבירה להעמיד אדם לדין הייתה נתונה ל</w:t>
      </w:r>
      <w:r>
        <w:rPr>
          <w:rFonts w:hint="cs"/>
          <w:rtl/>
        </w:rPr>
        <w:t xml:space="preserve">ביקורת שיפוטית </w:t>
      </w:r>
      <w:r w:rsidRPr="00417F6B">
        <w:rPr>
          <w:rFonts w:hint="cs"/>
          <w:rtl/>
        </w:rPr>
        <w:t>של בית המשפט הגבוה לצדק, אך בהיעדר הוכחה של ממש כי התביעה נהגה בחוסר תום לב</w:t>
      </w:r>
      <w:r>
        <w:rPr>
          <w:rFonts w:hint="cs"/>
          <w:rtl/>
        </w:rPr>
        <w:t>,</w:t>
      </w:r>
      <w:r w:rsidRPr="00417F6B">
        <w:rPr>
          <w:rFonts w:hint="cs"/>
          <w:rtl/>
        </w:rPr>
        <w:t xml:space="preserve"> </w:t>
      </w:r>
      <w:r>
        <w:rPr>
          <w:rFonts w:hint="cs"/>
          <w:rtl/>
        </w:rPr>
        <w:t xml:space="preserve">הסיכויים להתערבותו של בית המשפט היו קטנים </w:t>
      </w:r>
      <w:r w:rsidRPr="00417F6B">
        <w:rPr>
          <w:rFonts w:hint="cs"/>
          <w:rtl/>
        </w:rPr>
        <w:t>(</w:t>
      </w:r>
      <w:r>
        <w:rPr>
          <w:rFonts w:hint="cs"/>
          <w:rtl/>
        </w:rPr>
        <w:t xml:space="preserve">ראו: </w:t>
      </w:r>
      <w:r w:rsidRPr="00417F6B">
        <w:rPr>
          <w:rFonts w:hint="cs"/>
          <w:rtl/>
        </w:rPr>
        <w:t xml:space="preserve">פרופ' ד' </w:t>
      </w:r>
      <w:hyperlink r:id="rId163" w:history="1">
        <w:r w:rsidR="00AD4D63" w:rsidRPr="00AD4D63">
          <w:rPr>
            <w:rStyle w:val="Hyperlink"/>
            <w:rtl/>
          </w:rPr>
          <w:t xml:space="preserve">פרידמן "שיקול דעת שיפוטי בהעמדה </w:t>
        </w:r>
      </w:hyperlink>
      <w:r w:rsidR="00560FAF" w:rsidRPr="00560FAF">
        <w:rPr>
          <w:rtl/>
        </w:rPr>
        <w:t xml:space="preserve"> לדין פלילי</w:t>
      </w:r>
      <w:r w:rsidRPr="00417F6B">
        <w:rPr>
          <w:rFonts w:hint="cs"/>
          <w:rtl/>
        </w:rPr>
        <w:t xml:space="preserve">" </w:t>
      </w:r>
      <w:r>
        <w:rPr>
          <w:rFonts w:hint="cs"/>
          <w:rtl/>
        </w:rPr>
        <w:t>(להלן</w:t>
      </w:r>
      <w:r w:rsidR="00560FAF">
        <w:rPr>
          <w:rFonts w:hint="cs"/>
          <w:rtl/>
        </w:rPr>
        <w:t xml:space="preserve"> –</w:t>
      </w:r>
      <w:r>
        <w:rPr>
          <w:rFonts w:hint="cs"/>
          <w:rtl/>
        </w:rPr>
        <w:t xml:space="preserve"> </w:t>
      </w:r>
      <w:r w:rsidRPr="00560FAF">
        <w:rPr>
          <w:rFonts w:hint="cs"/>
          <w:rtl/>
        </w:rPr>
        <w:t>פרידמן</w:t>
      </w:r>
      <w:r w:rsidR="00560FAF">
        <w:rPr>
          <w:rFonts w:hint="cs"/>
          <w:rtl/>
        </w:rPr>
        <w:t xml:space="preserve"> </w:t>
      </w:r>
      <w:r w:rsidR="00560FAF">
        <w:rPr>
          <w:rFonts w:cs="Miriam" w:hint="cs"/>
          <w:szCs w:val="19"/>
          <w:rtl/>
        </w:rPr>
        <w:t>[</w:t>
      </w:r>
      <w:r w:rsidR="00BA5973">
        <w:rPr>
          <w:rFonts w:cs="Miriam" w:hint="cs"/>
          <w:szCs w:val="19"/>
          <w:rtl/>
        </w:rPr>
        <w:t>35</w:t>
      </w:r>
      <w:r w:rsidR="00560FAF">
        <w:rPr>
          <w:rFonts w:cs="Miriam" w:hint="cs"/>
          <w:szCs w:val="19"/>
          <w:rtl/>
        </w:rPr>
        <w:t>]</w:t>
      </w:r>
      <w:r>
        <w:rPr>
          <w:rFonts w:hint="cs"/>
          <w:rtl/>
        </w:rPr>
        <w:t>)</w:t>
      </w:r>
      <w:r w:rsidRPr="00417F6B">
        <w:rPr>
          <w:rFonts w:hint="cs"/>
          <w:rtl/>
        </w:rPr>
        <w:t xml:space="preserve">; א' </w:t>
      </w:r>
      <w:hyperlink r:id="rId164" w:history="1">
        <w:r w:rsidR="00AD4D63" w:rsidRPr="00AD4D63">
          <w:rPr>
            <w:rStyle w:val="Hyperlink"/>
            <w:rtl/>
          </w:rPr>
          <w:t xml:space="preserve">מגן "'זוטי דברים' – אך </w:t>
        </w:r>
      </w:hyperlink>
      <w:r w:rsidRPr="00417F6B">
        <w:rPr>
          <w:rFonts w:hint="cs"/>
          <w:rtl/>
        </w:rPr>
        <w:t xml:space="preserve"> לא</w:t>
      </w:r>
      <w:r w:rsidR="000E0A04">
        <w:rPr>
          <w:rFonts w:hint="cs"/>
          <w:rtl/>
        </w:rPr>
        <w:t>ו</w:t>
      </w:r>
      <w:r w:rsidRPr="00417F6B">
        <w:rPr>
          <w:rFonts w:hint="cs"/>
          <w:rtl/>
        </w:rPr>
        <w:t xml:space="preserve"> מילתא </w:t>
      </w:r>
      <w:r w:rsidR="000E0A04">
        <w:rPr>
          <w:rFonts w:hint="cs"/>
          <w:rtl/>
        </w:rPr>
        <w:t>ד</w:t>
      </w:r>
      <w:r w:rsidRPr="00417F6B">
        <w:rPr>
          <w:rFonts w:hint="cs"/>
          <w:rtl/>
        </w:rPr>
        <w:t>זוטר</w:t>
      </w:r>
      <w:r w:rsidR="000E0A04">
        <w:rPr>
          <w:rFonts w:hint="cs"/>
          <w:rtl/>
        </w:rPr>
        <w:t>ת</w:t>
      </w:r>
      <w:r w:rsidRPr="00417F6B">
        <w:rPr>
          <w:rFonts w:hint="cs"/>
          <w:rtl/>
        </w:rPr>
        <w:t xml:space="preserve">א" </w:t>
      </w:r>
      <w:r>
        <w:rPr>
          <w:rFonts w:hint="cs"/>
          <w:rtl/>
        </w:rPr>
        <w:t>(להלן</w:t>
      </w:r>
      <w:r w:rsidR="000E0A04">
        <w:rPr>
          <w:rFonts w:hint="cs"/>
          <w:rtl/>
        </w:rPr>
        <w:t xml:space="preserve"> –</w:t>
      </w:r>
      <w:r>
        <w:rPr>
          <w:rFonts w:hint="cs"/>
          <w:rtl/>
        </w:rPr>
        <w:t xml:space="preserve"> </w:t>
      </w:r>
      <w:r w:rsidRPr="000E0A04">
        <w:rPr>
          <w:rFonts w:hint="cs"/>
          <w:rtl/>
        </w:rPr>
        <w:t>מגן</w:t>
      </w:r>
      <w:r w:rsidR="000E0A04">
        <w:rPr>
          <w:rFonts w:hint="cs"/>
          <w:rtl/>
        </w:rPr>
        <w:t xml:space="preserve"> </w:t>
      </w:r>
      <w:r w:rsidR="000E0A04">
        <w:rPr>
          <w:rFonts w:cs="Miriam" w:hint="cs"/>
          <w:szCs w:val="19"/>
          <w:rtl/>
        </w:rPr>
        <w:t>[</w:t>
      </w:r>
      <w:r w:rsidR="00BA5973">
        <w:rPr>
          <w:rFonts w:cs="Miriam" w:hint="cs"/>
          <w:szCs w:val="19"/>
          <w:rtl/>
        </w:rPr>
        <w:t>36</w:t>
      </w:r>
      <w:r w:rsidR="000E0A04">
        <w:rPr>
          <w:rFonts w:cs="Miriam" w:hint="cs"/>
          <w:szCs w:val="19"/>
          <w:rtl/>
        </w:rPr>
        <w:t>]</w:t>
      </w:r>
      <w:r w:rsidR="000E0A04">
        <w:rPr>
          <w:rFonts w:hint="cs"/>
          <w:rtl/>
        </w:rPr>
        <w:t xml:space="preserve">), </w:t>
      </w:r>
      <w:r w:rsidR="000E0A04">
        <w:rPr>
          <w:rFonts w:cs="Miriam" w:hint="cs"/>
          <w:szCs w:val="19"/>
          <w:rtl/>
        </w:rPr>
        <w:t>בעמ'</w:t>
      </w:r>
      <w:r w:rsidR="000E0A04" w:rsidRPr="00417F6B">
        <w:rPr>
          <w:rFonts w:hint="cs"/>
          <w:rtl/>
        </w:rPr>
        <w:t xml:space="preserve"> </w:t>
      </w:r>
      <w:r w:rsidR="000E0A04" w:rsidRPr="000E0A04">
        <w:rPr>
          <w:rFonts w:cs="Miriam" w:hint="cs"/>
          <w:szCs w:val="19"/>
          <w:rtl/>
        </w:rPr>
        <w:t>41</w:t>
      </w:r>
      <w:r w:rsidRPr="00417F6B">
        <w:rPr>
          <w:rFonts w:hint="cs"/>
          <w:rtl/>
        </w:rPr>
        <w:t>).</w:t>
      </w:r>
      <w:r w:rsidR="00BA5973">
        <w:rPr>
          <w:rFonts w:hint="cs"/>
          <w:rtl/>
        </w:rPr>
        <w:t xml:space="preserve"> </w:t>
      </w:r>
    </w:p>
    <w:p w:rsidR="006A180F" w:rsidRPr="00417F6B" w:rsidRDefault="006A180F" w:rsidP="000E0A04">
      <w:pPr>
        <w:pStyle w:val="a"/>
        <w:rPr>
          <w:rFonts w:hint="cs"/>
          <w:rtl/>
        </w:rPr>
      </w:pPr>
      <w:r>
        <w:rPr>
          <w:rFonts w:hint="cs"/>
          <w:rtl/>
        </w:rPr>
        <w:t>העולה מכך הוא</w:t>
      </w:r>
      <w:r w:rsidRPr="00417F6B">
        <w:rPr>
          <w:rFonts w:hint="cs"/>
          <w:rtl/>
        </w:rPr>
        <w:t xml:space="preserve"> שמי שהוכחו </w:t>
      </w:r>
      <w:r>
        <w:rPr>
          <w:rFonts w:hint="cs"/>
          <w:rtl/>
        </w:rPr>
        <w:t>בעניינו,</w:t>
      </w:r>
      <w:r w:rsidRPr="00417F6B">
        <w:rPr>
          <w:rFonts w:hint="cs"/>
          <w:rtl/>
        </w:rPr>
        <w:t xml:space="preserve"> מעבר לספק סביר</w:t>
      </w:r>
      <w:r>
        <w:rPr>
          <w:rFonts w:hint="cs"/>
          <w:rtl/>
        </w:rPr>
        <w:t>,</w:t>
      </w:r>
      <w:r w:rsidRPr="00417F6B">
        <w:rPr>
          <w:rFonts w:hint="cs"/>
          <w:rtl/>
        </w:rPr>
        <w:t xml:space="preserve"> יסודות</w:t>
      </w:r>
      <w:r>
        <w:rPr>
          <w:rFonts w:hint="cs"/>
          <w:rtl/>
        </w:rPr>
        <w:t>יה של</w:t>
      </w:r>
      <w:r w:rsidRPr="00417F6B">
        <w:rPr>
          <w:rFonts w:hint="cs"/>
          <w:rtl/>
        </w:rPr>
        <w:t xml:space="preserve"> העבירה שיוחסה לו, לא </w:t>
      </w:r>
      <w:r>
        <w:rPr>
          <w:rFonts w:hint="cs"/>
          <w:rtl/>
        </w:rPr>
        <w:t>נותרה</w:t>
      </w:r>
      <w:r w:rsidRPr="00417F6B">
        <w:rPr>
          <w:rFonts w:hint="cs"/>
          <w:rtl/>
        </w:rPr>
        <w:t xml:space="preserve"> לב</w:t>
      </w:r>
      <w:r>
        <w:rPr>
          <w:rFonts w:hint="cs"/>
          <w:rtl/>
        </w:rPr>
        <w:t xml:space="preserve">ית המשפט בררה אלא להרשיעו. </w:t>
      </w:r>
      <w:r w:rsidRPr="00417F6B">
        <w:rPr>
          <w:rFonts w:hint="cs"/>
          <w:rtl/>
        </w:rPr>
        <w:t xml:space="preserve">זאת, גם אם היה משוכנע </w:t>
      </w:r>
      <w:r>
        <w:rPr>
          <w:rFonts w:hint="cs"/>
          <w:rtl/>
        </w:rPr>
        <w:t>"</w:t>
      </w:r>
      <w:r w:rsidRPr="00417F6B">
        <w:rPr>
          <w:rFonts w:hint="cs"/>
          <w:rtl/>
        </w:rPr>
        <w:t>כי העניין הוא טכני או פעוט, כי אנשים אחרים אינם עומדים לדין בנסיבות דומות, וכי לא הייתה הצדקה להגשת כתב האישום כפי שהוגש" (</w:t>
      </w:r>
      <w:r>
        <w:rPr>
          <w:rFonts w:hint="cs"/>
          <w:rtl/>
        </w:rPr>
        <w:t xml:space="preserve">ראו: </w:t>
      </w:r>
      <w:r w:rsidRPr="000E0A04">
        <w:rPr>
          <w:rFonts w:hint="cs"/>
          <w:rtl/>
        </w:rPr>
        <w:t>פרידמן</w:t>
      </w:r>
      <w:r w:rsidR="000E0A04">
        <w:rPr>
          <w:rFonts w:hint="cs"/>
          <w:rtl/>
        </w:rPr>
        <w:t xml:space="preserve"> </w:t>
      </w:r>
      <w:r w:rsidR="000E0A04">
        <w:rPr>
          <w:rFonts w:cs="Miriam" w:hint="cs"/>
          <w:szCs w:val="19"/>
          <w:rtl/>
        </w:rPr>
        <w:t>[</w:t>
      </w:r>
      <w:r w:rsidR="00BA5973">
        <w:rPr>
          <w:rFonts w:cs="Miriam" w:hint="cs"/>
          <w:szCs w:val="19"/>
          <w:rtl/>
        </w:rPr>
        <w:t>35</w:t>
      </w:r>
      <w:r w:rsidR="000E0A04">
        <w:rPr>
          <w:rFonts w:cs="Miriam" w:hint="cs"/>
          <w:szCs w:val="19"/>
          <w:rtl/>
        </w:rPr>
        <w:t>]</w:t>
      </w:r>
      <w:r w:rsidRPr="000E0A04">
        <w:rPr>
          <w:rFonts w:hint="cs"/>
          <w:rtl/>
        </w:rPr>
        <w:t>,</w:t>
      </w:r>
      <w:r>
        <w:rPr>
          <w:rFonts w:hint="cs"/>
          <w:rtl/>
        </w:rPr>
        <w:t xml:space="preserve"> </w:t>
      </w:r>
      <w:r w:rsidRPr="000E0A04">
        <w:rPr>
          <w:rFonts w:cs="Miriam" w:hint="cs"/>
          <w:szCs w:val="19"/>
          <w:rtl/>
        </w:rPr>
        <w:t>בעמ' 161</w:t>
      </w:r>
      <w:r>
        <w:rPr>
          <w:rFonts w:hint="cs"/>
          <w:rtl/>
        </w:rPr>
        <w:t xml:space="preserve"> וכן </w:t>
      </w:r>
      <w:r w:rsidRPr="000E0A04">
        <w:rPr>
          <w:rFonts w:hint="cs"/>
          <w:rtl/>
        </w:rPr>
        <w:t>מגן</w:t>
      </w:r>
      <w:r w:rsidR="000E0A04">
        <w:rPr>
          <w:rFonts w:hint="cs"/>
          <w:rtl/>
        </w:rPr>
        <w:t xml:space="preserve"> </w:t>
      </w:r>
      <w:r w:rsidR="000E0A04">
        <w:rPr>
          <w:rFonts w:cs="Miriam" w:hint="cs"/>
          <w:szCs w:val="19"/>
          <w:rtl/>
        </w:rPr>
        <w:t>[</w:t>
      </w:r>
      <w:r w:rsidR="00BA5973">
        <w:rPr>
          <w:rFonts w:cs="Miriam" w:hint="cs"/>
          <w:szCs w:val="19"/>
          <w:rtl/>
        </w:rPr>
        <w:t>36</w:t>
      </w:r>
      <w:r w:rsidR="000E0A04">
        <w:rPr>
          <w:rFonts w:cs="Miriam" w:hint="cs"/>
          <w:szCs w:val="19"/>
          <w:rtl/>
        </w:rPr>
        <w:t>]</w:t>
      </w:r>
      <w:r w:rsidRPr="000E0A04">
        <w:rPr>
          <w:rFonts w:hint="cs"/>
          <w:rtl/>
        </w:rPr>
        <w:t>,</w:t>
      </w:r>
      <w:r>
        <w:rPr>
          <w:rFonts w:hint="cs"/>
          <w:rtl/>
        </w:rPr>
        <w:t xml:space="preserve"> </w:t>
      </w:r>
      <w:r w:rsidRPr="000E0A04">
        <w:rPr>
          <w:rFonts w:cs="Miriam" w:hint="cs"/>
          <w:szCs w:val="19"/>
          <w:rtl/>
        </w:rPr>
        <w:t>בעמ' 41</w:t>
      </w:r>
      <w:r w:rsidRPr="00417F6B">
        <w:rPr>
          <w:rFonts w:hint="cs"/>
          <w:rtl/>
        </w:rPr>
        <w:t>). ה</w:t>
      </w:r>
      <w:r>
        <w:rPr>
          <w:rFonts w:hint="cs"/>
          <w:rtl/>
        </w:rPr>
        <w:t>י</w:t>
      </w:r>
      <w:r w:rsidRPr="00417F6B">
        <w:rPr>
          <w:rFonts w:hint="cs"/>
          <w:rtl/>
        </w:rPr>
        <w:t>עדרה של סמכות מסוג זה יצר תחושה של אי</w:t>
      </w:r>
      <w:r w:rsidRPr="000E0A04">
        <w:rPr>
          <w:rFonts w:hint="cs"/>
          <w:position w:val="4"/>
          <w:rtl/>
        </w:rPr>
        <w:t>-</w:t>
      </w:r>
      <w:r w:rsidRPr="00417F6B">
        <w:rPr>
          <w:rFonts w:hint="cs"/>
          <w:rtl/>
        </w:rPr>
        <w:t>נוחות</w:t>
      </w:r>
      <w:r>
        <w:rPr>
          <w:rFonts w:hint="cs"/>
          <w:rtl/>
        </w:rPr>
        <w:t>,</w:t>
      </w:r>
      <w:r w:rsidRPr="00417F6B">
        <w:rPr>
          <w:rFonts w:hint="cs"/>
          <w:rtl/>
        </w:rPr>
        <w:t xml:space="preserve"> ובלשונו של </w:t>
      </w:r>
      <w:r w:rsidRPr="000E0A04">
        <w:rPr>
          <w:rFonts w:cs="Miriam" w:hint="cs"/>
          <w:szCs w:val="19"/>
          <w:rtl/>
        </w:rPr>
        <w:t xml:space="preserve">השופט אגרנט </w:t>
      </w:r>
      <w:r>
        <w:rPr>
          <w:rFonts w:hint="cs"/>
          <w:rtl/>
        </w:rPr>
        <w:t>(כתוארו אז)</w:t>
      </w:r>
      <w:r w:rsidRPr="00417F6B">
        <w:rPr>
          <w:rFonts w:hint="cs"/>
          <w:rtl/>
        </w:rPr>
        <w:t>:</w:t>
      </w:r>
    </w:p>
    <w:p w:rsidR="006A180F" w:rsidRPr="00417F6B" w:rsidRDefault="006A180F" w:rsidP="009F4FD9">
      <w:pPr>
        <w:pStyle w:val="a4"/>
        <w:rPr>
          <w:rFonts w:hint="cs"/>
          <w:rtl/>
        </w:rPr>
      </w:pPr>
      <w:r w:rsidRPr="00417F6B">
        <w:rPr>
          <w:rFonts w:hint="cs"/>
          <w:rtl/>
        </w:rPr>
        <w:t>"בסוף הדיון בערעור זה היתה זאת הרגשתו של כל אחד מאתנו, שישב בדין, כי אפילו נחליט שקיים יסוד להרשעתו של המערער, מוטב היה אילו השלטונות השתמשו בשיקול דעתם ונמנעו בכלל להביא את הלה בפלילים"</w:t>
      </w:r>
      <w:r>
        <w:rPr>
          <w:rFonts w:hint="cs"/>
          <w:rtl/>
        </w:rPr>
        <w:t xml:space="preserve"> </w:t>
      </w:r>
      <w:r w:rsidRPr="00417F6B">
        <w:rPr>
          <w:rFonts w:hint="cs"/>
          <w:rtl/>
        </w:rPr>
        <w:t>(</w:t>
      </w:r>
      <w:hyperlink r:id="rId165" w:history="1">
        <w:r w:rsidR="004C5B7C" w:rsidRPr="00AD4D63">
          <w:rPr>
            <w:rStyle w:val="Hyperlink"/>
            <w:rFonts w:cs="Miriam" w:hint="eastAsia"/>
            <w:szCs w:val="19"/>
            <w:rtl/>
          </w:rPr>
          <w:t>ע</w:t>
        </w:r>
        <w:r w:rsidR="004C5B7C" w:rsidRPr="00AD4D63">
          <w:rPr>
            <w:rStyle w:val="Hyperlink"/>
            <w:rFonts w:cs="Miriam"/>
            <w:szCs w:val="19"/>
            <w:rtl/>
          </w:rPr>
          <w:t>"פ 45/49</w:t>
        </w:r>
      </w:hyperlink>
      <w:r w:rsidRPr="009F4FD9">
        <w:rPr>
          <w:rFonts w:cs="Miriam" w:hint="cs"/>
          <w:szCs w:val="19"/>
          <w:rtl/>
        </w:rPr>
        <w:t xml:space="preserve"> מפן נ</w:t>
      </w:r>
      <w:r w:rsidR="000E0A04" w:rsidRPr="009F4FD9">
        <w:rPr>
          <w:rFonts w:cs="Miriam" w:hint="cs"/>
          <w:szCs w:val="19"/>
          <w:rtl/>
        </w:rPr>
        <w:t>'</w:t>
      </w:r>
      <w:r w:rsidRPr="009F4FD9">
        <w:rPr>
          <w:rFonts w:cs="Miriam" w:hint="cs"/>
          <w:szCs w:val="19"/>
          <w:rtl/>
        </w:rPr>
        <w:t xml:space="preserve"> היועץ המשפטי</w:t>
      </w:r>
      <w:r w:rsidR="009F4FD9">
        <w:rPr>
          <w:rFonts w:cs="Miriam" w:hint="cs"/>
          <w:szCs w:val="19"/>
          <w:rtl/>
        </w:rPr>
        <w:t xml:space="preserve"> [8]</w:t>
      </w:r>
      <w:r w:rsidRPr="00417F6B">
        <w:rPr>
          <w:rFonts w:hint="cs"/>
          <w:rtl/>
        </w:rPr>
        <w:t>,</w:t>
      </w:r>
      <w:r w:rsidR="009F4FD9">
        <w:rPr>
          <w:rFonts w:hint="cs"/>
          <w:rtl/>
        </w:rPr>
        <w:t xml:space="preserve"> </w:t>
      </w:r>
      <w:r w:rsidR="009F4FD9">
        <w:rPr>
          <w:rFonts w:cs="Miriam" w:hint="cs"/>
          <w:szCs w:val="19"/>
          <w:rtl/>
        </w:rPr>
        <w:t>בעמ'</w:t>
      </w:r>
      <w:r w:rsidRPr="009F4FD9">
        <w:rPr>
          <w:rFonts w:cs="Miriam" w:hint="cs"/>
          <w:szCs w:val="19"/>
          <w:rtl/>
        </w:rPr>
        <w:t xml:space="preserve"> 124</w:t>
      </w:r>
      <w:r w:rsidRPr="00417F6B">
        <w:rPr>
          <w:rFonts w:hint="cs"/>
          <w:rtl/>
        </w:rPr>
        <w:t>)</w:t>
      </w:r>
      <w:r w:rsidR="000E0A04">
        <w:rPr>
          <w:rFonts w:hint="cs"/>
          <w:rtl/>
        </w:rPr>
        <w:t>.</w:t>
      </w:r>
    </w:p>
    <w:p w:rsidR="00D35634" w:rsidRDefault="006A180F" w:rsidP="009F4FD9">
      <w:pPr>
        <w:pStyle w:val="a"/>
        <w:rPr>
          <w:rtl/>
        </w:rPr>
      </w:pPr>
      <w:r>
        <w:rPr>
          <w:rFonts w:hint="cs"/>
          <w:rtl/>
        </w:rPr>
        <w:t>ואכן,</w:t>
      </w:r>
      <w:r w:rsidRPr="00417F6B">
        <w:rPr>
          <w:rFonts w:hint="cs"/>
          <w:rtl/>
        </w:rPr>
        <w:t xml:space="preserve"> נמצא לא אחת </w:t>
      </w:r>
      <w:r>
        <w:rPr>
          <w:rFonts w:hint="cs"/>
          <w:rtl/>
        </w:rPr>
        <w:t>ש</w:t>
      </w:r>
      <w:r w:rsidRPr="00417F6B">
        <w:rPr>
          <w:rFonts w:hint="cs"/>
          <w:rtl/>
        </w:rPr>
        <w:t>בתי המשפט</w:t>
      </w:r>
      <w:r>
        <w:rPr>
          <w:rFonts w:hint="cs"/>
          <w:rtl/>
        </w:rPr>
        <w:t xml:space="preserve"> התייחסו </w:t>
      </w:r>
      <w:r w:rsidRPr="00417F6B">
        <w:rPr>
          <w:rFonts w:hint="cs"/>
          <w:rtl/>
        </w:rPr>
        <w:t xml:space="preserve">במפורש </w:t>
      </w:r>
      <w:r>
        <w:rPr>
          <w:rFonts w:hint="cs"/>
          <w:rtl/>
        </w:rPr>
        <w:t>א</w:t>
      </w:r>
      <w:r w:rsidRPr="00417F6B">
        <w:rPr>
          <w:rFonts w:hint="cs"/>
          <w:rtl/>
        </w:rPr>
        <w:t>ו מכללא ל</w:t>
      </w:r>
      <w:r>
        <w:rPr>
          <w:rFonts w:hint="cs"/>
          <w:rtl/>
        </w:rPr>
        <w:t xml:space="preserve">עיקרון הכללי </w:t>
      </w:r>
      <w:r w:rsidRPr="00417F6B">
        <w:rPr>
          <w:rFonts w:hint="cs"/>
          <w:rtl/>
        </w:rPr>
        <w:t xml:space="preserve">בדבר זוטי דברים </w:t>
      </w:r>
      <w:r>
        <w:rPr>
          <w:rFonts w:hint="cs"/>
          <w:rtl/>
        </w:rPr>
        <w:t>עוד בטרם עוגן בחוק</w:t>
      </w:r>
      <w:r w:rsidRPr="00417F6B">
        <w:rPr>
          <w:rFonts w:hint="cs"/>
          <w:rtl/>
        </w:rPr>
        <w:t xml:space="preserve">. </w:t>
      </w:r>
      <w:r w:rsidRPr="009F4FD9">
        <w:rPr>
          <w:rFonts w:cs="Miriam" w:hint="cs"/>
          <w:szCs w:val="19"/>
          <w:rtl/>
        </w:rPr>
        <w:t>השופט י' כהן</w:t>
      </w:r>
      <w:r w:rsidRPr="00417F6B">
        <w:rPr>
          <w:rFonts w:hint="cs"/>
          <w:rtl/>
        </w:rPr>
        <w:t xml:space="preserve"> קבע כי </w:t>
      </w:r>
      <w:r>
        <w:rPr>
          <w:rFonts w:hint="cs"/>
          <w:rtl/>
        </w:rPr>
        <w:t>קיימים</w:t>
      </w:r>
      <w:r w:rsidRPr="00417F6B">
        <w:rPr>
          <w:rFonts w:hint="cs"/>
          <w:rtl/>
        </w:rPr>
        <w:t xml:space="preserve"> מקרים שאף </w:t>
      </w:r>
      <w:r>
        <w:rPr>
          <w:rFonts w:hint="cs"/>
          <w:rtl/>
        </w:rPr>
        <w:t xml:space="preserve">על פי </w:t>
      </w:r>
      <w:r w:rsidRPr="00417F6B">
        <w:rPr>
          <w:rFonts w:hint="cs"/>
          <w:rtl/>
        </w:rPr>
        <w:t>שמתקיימים בהם כל יסודות העבירה</w:t>
      </w:r>
      <w:r>
        <w:rPr>
          <w:rFonts w:hint="cs"/>
          <w:rtl/>
        </w:rPr>
        <w:t>,</w:t>
      </w:r>
      <w:r w:rsidRPr="00417F6B">
        <w:rPr>
          <w:rFonts w:hint="cs"/>
          <w:rtl/>
        </w:rPr>
        <w:t xml:space="preserve"> הרי שעצם המעשה כה זניח עד כי אין הוא </w:t>
      </w:r>
    </w:p>
    <w:p w:rsidR="006A180F" w:rsidRPr="00417F6B" w:rsidRDefault="00D35634" w:rsidP="00D35634">
      <w:pPr>
        <w:pStyle w:val="a"/>
        <w:ind w:firstLine="0"/>
        <w:rPr>
          <w:rFonts w:hint="cs"/>
          <w:rtl/>
        </w:rPr>
      </w:pPr>
      <w:r>
        <w:rPr>
          <w:rtl/>
        </w:rPr>
        <w:br w:type="page"/>
      </w:r>
      <w:r w:rsidR="006A180F" w:rsidRPr="00417F6B">
        <w:rPr>
          <w:rFonts w:hint="cs"/>
          <w:rtl/>
        </w:rPr>
        <w:t>ראוי להגנתו של הדין הפלילי</w:t>
      </w:r>
      <w:r w:rsidR="006A180F">
        <w:rPr>
          <w:rFonts w:hint="cs"/>
          <w:rtl/>
        </w:rPr>
        <w:t>,</w:t>
      </w:r>
      <w:r w:rsidR="006A180F" w:rsidRPr="00417F6B">
        <w:rPr>
          <w:rFonts w:hint="cs"/>
          <w:rtl/>
        </w:rPr>
        <w:t xml:space="preserve"> </w:t>
      </w:r>
      <w:r w:rsidR="006A180F">
        <w:rPr>
          <w:rFonts w:hint="cs"/>
          <w:rtl/>
        </w:rPr>
        <w:t xml:space="preserve">מכוח </w:t>
      </w:r>
      <w:r w:rsidR="006A180F" w:rsidRPr="00417F6B">
        <w:rPr>
          <w:rFonts w:hint="cs"/>
          <w:rtl/>
        </w:rPr>
        <w:t>"</w:t>
      </w:r>
      <w:r w:rsidR="009F4FD9">
        <w:rPr>
          <w:rFonts w:hint="cs"/>
          <w:rtl/>
        </w:rPr>
        <w:t>...</w:t>
      </w:r>
      <w:r w:rsidR="006A180F" w:rsidRPr="00417F6B">
        <w:rPr>
          <w:rFonts w:hint="cs"/>
          <w:rtl/>
        </w:rPr>
        <w:t>הע</w:t>
      </w:r>
      <w:r w:rsidR="006A180F">
        <w:rPr>
          <w:rFonts w:hint="cs"/>
          <w:rtl/>
        </w:rPr>
        <w:t>י</w:t>
      </w:r>
      <w:r w:rsidR="006A180F" w:rsidRPr="00417F6B">
        <w:rPr>
          <w:rFonts w:hint="cs"/>
          <w:rtl/>
        </w:rPr>
        <w:t>קרון שאין החוק עוסק בדברים של מה בכך</w:t>
      </w:r>
      <w:r w:rsidR="009F4FD9">
        <w:rPr>
          <w:rFonts w:hint="cs"/>
          <w:rtl/>
        </w:rPr>
        <w:t>...</w:t>
      </w:r>
      <w:r w:rsidR="006A180F" w:rsidRPr="00417F6B">
        <w:rPr>
          <w:rFonts w:hint="cs"/>
          <w:rtl/>
        </w:rPr>
        <w:t>" (</w:t>
      </w:r>
      <w:hyperlink r:id="rId166" w:history="1">
        <w:r w:rsidR="004C5B7C" w:rsidRPr="00AD4D63">
          <w:rPr>
            <w:rStyle w:val="Hyperlink"/>
            <w:rFonts w:cs="Miriam" w:hint="eastAsia"/>
            <w:szCs w:val="19"/>
            <w:rtl/>
          </w:rPr>
          <w:t>ע</w:t>
        </w:r>
        <w:r w:rsidR="004C5B7C" w:rsidRPr="00AD4D63">
          <w:rPr>
            <w:rStyle w:val="Hyperlink"/>
            <w:rFonts w:cs="Miriam"/>
            <w:szCs w:val="19"/>
            <w:rtl/>
          </w:rPr>
          <w:t>"פ 839/78</w:t>
        </w:r>
      </w:hyperlink>
      <w:r w:rsidR="006A180F" w:rsidRPr="009F4FD9">
        <w:rPr>
          <w:rFonts w:cs="Miriam" w:hint="cs"/>
          <w:szCs w:val="19"/>
          <w:rtl/>
        </w:rPr>
        <w:t xml:space="preserve"> מדינת ישראל נ</w:t>
      </w:r>
      <w:r w:rsidR="009F4FD9" w:rsidRPr="009F4FD9">
        <w:rPr>
          <w:rFonts w:cs="Miriam" w:hint="cs"/>
          <w:szCs w:val="19"/>
          <w:rtl/>
        </w:rPr>
        <w:t>'</w:t>
      </w:r>
      <w:r w:rsidR="006A180F" w:rsidRPr="009F4FD9">
        <w:rPr>
          <w:rFonts w:cs="Miriam" w:hint="cs"/>
          <w:szCs w:val="19"/>
          <w:rtl/>
        </w:rPr>
        <w:t xml:space="preserve"> אבני</w:t>
      </w:r>
      <w:r w:rsidR="009F4FD9">
        <w:rPr>
          <w:rFonts w:cs="Miriam" w:hint="cs"/>
          <w:szCs w:val="19"/>
          <w:rtl/>
        </w:rPr>
        <w:t xml:space="preserve"> [9]</w:t>
      </w:r>
      <w:r w:rsidR="006A180F" w:rsidRPr="00417F6B">
        <w:rPr>
          <w:rFonts w:hint="cs"/>
          <w:rtl/>
        </w:rPr>
        <w:t>,</w:t>
      </w:r>
      <w:r w:rsidR="009F4FD9">
        <w:rPr>
          <w:rFonts w:hint="cs"/>
          <w:rtl/>
        </w:rPr>
        <w:t xml:space="preserve"> </w:t>
      </w:r>
      <w:r w:rsidR="009F4FD9">
        <w:rPr>
          <w:rFonts w:cs="Miriam" w:hint="cs"/>
          <w:szCs w:val="19"/>
          <w:rtl/>
        </w:rPr>
        <w:t>בעמ'</w:t>
      </w:r>
      <w:r w:rsidR="006A180F" w:rsidRPr="009F4FD9">
        <w:rPr>
          <w:rFonts w:cs="Miriam" w:hint="cs"/>
          <w:szCs w:val="19"/>
          <w:rtl/>
        </w:rPr>
        <w:t xml:space="preserve"> 832</w:t>
      </w:r>
      <w:r w:rsidR="006A180F" w:rsidRPr="00417F6B">
        <w:rPr>
          <w:rFonts w:hint="cs"/>
          <w:rtl/>
        </w:rPr>
        <w:t>)</w:t>
      </w:r>
      <w:r w:rsidR="006A180F">
        <w:rPr>
          <w:rFonts w:hint="cs"/>
          <w:rtl/>
        </w:rPr>
        <w:t>.</w:t>
      </w:r>
      <w:r w:rsidR="006A180F" w:rsidRPr="00417F6B">
        <w:rPr>
          <w:rFonts w:hint="cs"/>
          <w:rtl/>
        </w:rPr>
        <w:t xml:space="preserve"> </w:t>
      </w:r>
    </w:p>
    <w:p w:rsidR="006A180F" w:rsidRDefault="006A180F" w:rsidP="006A180F">
      <w:pPr>
        <w:pStyle w:val="a"/>
        <w:rPr>
          <w:rFonts w:hint="cs"/>
          <w:rtl/>
        </w:rPr>
      </w:pPr>
      <w:r w:rsidRPr="00417F6B">
        <w:rPr>
          <w:rFonts w:hint="cs"/>
          <w:rtl/>
        </w:rPr>
        <w:t>פרופ' פלר</w:t>
      </w:r>
      <w:r w:rsidR="00BA5973">
        <w:rPr>
          <w:rFonts w:hint="cs"/>
          <w:rtl/>
        </w:rPr>
        <w:t xml:space="preserve"> </w:t>
      </w:r>
      <w:r w:rsidRPr="00417F6B">
        <w:rPr>
          <w:rFonts w:hint="cs"/>
          <w:rtl/>
        </w:rPr>
        <w:t>עמד אף הוא על חשיב</w:t>
      </w:r>
      <w:r>
        <w:rPr>
          <w:rFonts w:hint="cs"/>
          <w:rtl/>
        </w:rPr>
        <w:t>ותו של הכלל בדבר זוטי דברים</w:t>
      </w:r>
      <w:r w:rsidRPr="00417F6B">
        <w:rPr>
          <w:rFonts w:hint="cs"/>
          <w:rtl/>
        </w:rPr>
        <w:t xml:space="preserve">: </w:t>
      </w:r>
    </w:p>
    <w:p w:rsidR="006A180F" w:rsidRPr="00417F6B" w:rsidRDefault="006A180F" w:rsidP="009F4FD9">
      <w:pPr>
        <w:pStyle w:val="a4"/>
        <w:rPr>
          <w:rFonts w:hint="cs"/>
          <w:rtl/>
        </w:rPr>
      </w:pPr>
      <w:r w:rsidRPr="00417F6B">
        <w:rPr>
          <w:rFonts w:hint="cs"/>
          <w:rtl/>
        </w:rPr>
        <w:t>"כלל זה נועד להתאים את ההגדרה הפורמאלית של העבירה הפלילית, לתוכנה הענייני מבחינת סף האנטי חברתיות בה מותנית תופעה עבריינית... אילו יכול היה המחוקק לוותר על ההגדרות המופשט</w:t>
      </w:r>
      <w:r>
        <w:rPr>
          <w:rFonts w:hint="cs"/>
          <w:rtl/>
        </w:rPr>
        <w:t>ו</w:t>
      </w:r>
      <w:r w:rsidRPr="00417F6B">
        <w:rPr>
          <w:rFonts w:hint="cs"/>
          <w:rtl/>
        </w:rPr>
        <w:t>ת הללו, וניתן היה לערוך, במקומן, רשימות מפורטות של אירועים כאמור, הוא היה דואג להשמיט מרשימות אלה את מגזרי האירועים שנמצאים מתחת לאותו סף של חומרה ואנטי חברתיות. שכן, אין הם הולמים את התוכן הענייני של העבירה חרף העובדה שהם כלולים פורמאלית, בהגדרתה"</w:t>
      </w:r>
      <w:r>
        <w:rPr>
          <w:rFonts w:hint="cs"/>
          <w:rtl/>
        </w:rPr>
        <w:t xml:space="preserve"> </w:t>
      </w:r>
      <w:r w:rsidRPr="00417F6B">
        <w:rPr>
          <w:rFonts w:hint="cs"/>
          <w:rtl/>
        </w:rPr>
        <w:t xml:space="preserve">(ש"ז </w:t>
      </w:r>
      <w:hyperlink r:id="rId167" w:history="1">
        <w:r w:rsidR="00AD4D63" w:rsidRPr="00AD4D63">
          <w:rPr>
            <w:rStyle w:val="Hyperlink"/>
            <w:rFonts w:cs="Miriam"/>
            <w:szCs w:val="19"/>
            <w:rtl/>
          </w:rPr>
          <w:t>פלר יסודות בדיני עונשין</w:t>
        </w:r>
      </w:hyperlink>
      <w:r w:rsidRPr="008320F0">
        <w:rPr>
          <w:rFonts w:hint="cs"/>
          <w:rtl/>
        </w:rPr>
        <w:t xml:space="preserve"> </w:t>
      </w:r>
      <w:r w:rsidRPr="00417F6B">
        <w:rPr>
          <w:rFonts w:hint="cs"/>
          <w:rtl/>
        </w:rPr>
        <w:t>(כרך ב)</w:t>
      </w:r>
      <w:r w:rsidR="009F4FD9">
        <w:rPr>
          <w:rFonts w:hint="cs"/>
          <w:rtl/>
        </w:rPr>
        <w:t xml:space="preserve"> </w:t>
      </w:r>
      <w:r w:rsidR="009F4FD9">
        <w:rPr>
          <w:rFonts w:cs="Miriam" w:hint="cs"/>
          <w:szCs w:val="19"/>
          <w:rtl/>
        </w:rPr>
        <w:t>[</w:t>
      </w:r>
      <w:r w:rsidR="00BA5973">
        <w:rPr>
          <w:rFonts w:cs="Miriam" w:hint="cs"/>
          <w:szCs w:val="19"/>
          <w:rtl/>
        </w:rPr>
        <w:t>28</w:t>
      </w:r>
      <w:r w:rsidR="009F4FD9">
        <w:rPr>
          <w:rFonts w:cs="Miriam" w:hint="cs"/>
          <w:szCs w:val="19"/>
          <w:rtl/>
        </w:rPr>
        <w:t>]</w:t>
      </w:r>
      <w:r w:rsidR="009F4FD9">
        <w:rPr>
          <w:rFonts w:hint="cs"/>
          <w:rtl/>
        </w:rPr>
        <w:t xml:space="preserve">, </w:t>
      </w:r>
      <w:r w:rsidR="009F4FD9">
        <w:rPr>
          <w:rFonts w:cs="Miriam" w:hint="cs"/>
          <w:szCs w:val="19"/>
          <w:rtl/>
        </w:rPr>
        <w:t>בעמ'</w:t>
      </w:r>
      <w:r w:rsidRPr="009F4FD9">
        <w:rPr>
          <w:rFonts w:cs="Miriam" w:hint="cs"/>
          <w:szCs w:val="19"/>
          <w:rtl/>
        </w:rPr>
        <w:t xml:space="preserve"> </w:t>
      </w:r>
      <w:r w:rsidR="009F4FD9">
        <w:rPr>
          <w:rFonts w:cs="Miriam" w:hint="cs"/>
          <w:szCs w:val="19"/>
          <w:rtl/>
        </w:rPr>
        <w:t>616-615</w:t>
      </w:r>
      <w:r>
        <w:rPr>
          <w:rFonts w:hint="cs"/>
          <w:rtl/>
        </w:rPr>
        <w:t>)</w:t>
      </w:r>
      <w:r w:rsidRPr="00417F6B">
        <w:rPr>
          <w:rFonts w:hint="cs"/>
          <w:rtl/>
        </w:rPr>
        <w:t>.</w:t>
      </w:r>
    </w:p>
    <w:p w:rsidR="006A180F" w:rsidRPr="00417F6B" w:rsidRDefault="006A180F" w:rsidP="006A180F">
      <w:pPr>
        <w:pStyle w:val="a"/>
        <w:rPr>
          <w:rFonts w:hint="cs"/>
          <w:rtl/>
        </w:rPr>
      </w:pPr>
      <w:r w:rsidRPr="00417F6B">
        <w:rPr>
          <w:rFonts w:hint="cs"/>
          <w:rtl/>
        </w:rPr>
        <w:t>על הצורך בהרחבת שיקול הדעת של בית המשפט בהליכים פליליים עמד גם פרופ' פרידמן:</w:t>
      </w:r>
    </w:p>
    <w:p w:rsidR="006A180F" w:rsidRPr="00417F6B" w:rsidRDefault="006A180F" w:rsidP="005D40E8">
      <w:pPr>
        <w:pStyle w:val="a4"/>
        <w:rPr>
          <w:rFonts w:hint="cs"/>
          <w:rtl/>
        </w:rPr>
      </w:pPr>
      <w:r w:rsidRPr="00417F6B">
        <w:rPr>
          <w:rFonts w:hint="cs"/>
          <w:rtl/>
        </w:rPr>
        <w:t>"ההליך הפלילי מורכב משלבים אחדים... בולט הדבר כי בכל השלבים, למעט בהליך השפיטה עצמו, קיים שיקול דעת רחב ביותר...</w:t>
      </w:r>
      <w:r w:rsidR="009F4FD9">
        <w:rPr>
          <w:rFonts w:hint="cs"/>
          <w:rtl/>
        </w:rPr>
        <w:t xml:space="preserve"> </w:t>
      </w:r>
      <w:r w:rsidRPr="00417F6B">
        <w:rPr>
          <w:rFonts w:hint="cs"/>
          <w:rtl/>
        </w:rPr>
        <w:t>בולט הדבר כי הגוף היחיד, אשר אין לו שיקול דעת בעניין זה, הוא בית המשפט...</w:t>
      </w:r>
      <w:r w:rsidR="009F4FD9">
        <w:rPr>
          <w:rFonts w:hint="cs"/>
          <w:rtl/>
        </w:rPr>
        <w:t xml:space="preserve"> </w:t>
      </w:r>
      <w:r w:rsidRPr="00417F6B">
        <w:rPr>
          <w:rFonts w:hint="cs"/>
          <w:rtl/>
        </w:rPr>
        <w:t xml:space="preserve">ההצעה הנראית לי היא לתקן את החוק על מנת להקנות לבית המשפט שיקול דעת דומה לזה שיש לתביעה וליועץ המשפטי בעניין העמדת ההליכים, באופן שבית המשפט יוכל, אם ימצא זאת לנכון, לסיים את ההליך או </w:t>
      </w:r>
      <w:r>
        <w:rPr>
          <w:rFonts w:hint="cs"/>
          <w:rtl/>
        </w:rPr>
        <w:t>להפסיקו מבלי להרשיע את העבריין"</w:t>
      </w:r>
      <w:r w:rsidRPr="00417F6B">
        <w:rPr>
          <w:rFonts w:hint="cs"/>
          <w:rtl/>
        </w:rPr>
        <w:t xml:space="preserve"> </w:t>
      </w:r>
      <w:r>
        <w:rPr>
          <w:rFonts w:hint="cs"/>
          <w:rtl/>
        </w:rPr>
        <w:t xml:space="preserve">(ראו </w:t>
      </w:r>
      <w:r w:rsidRPr="009F4FD9">
        <w:rPr>
          <w:rFonts w:hint="cs"/>
          <w:rtl/>
        </w:rPr>
        <w:t>פרידמן</w:t>
      </w:r>
      <w:r w:rsidR="009F4FD9">
        <w:rPr>
          <w:rFonts w:hint="cs"/>
          <w:rtl/>
        </w:rPr>
        <w:t xml:space="preserve"> </w:t>
      </w:r>
      <w:r w:rsidR="009F4FD9">
        <w:rPr>
          <w:rFonts w:cs="Miriam" w:hint="cs"/>
          <w:szCs w:val="19"/>
          <w:rtl/>
        </w:rPr>
        <w:t>[</w:t>
      </w:r>
      <w:r w:rsidR="00BA5973">
        <w:rPr>
          <w:rFonts w:cs="Miriam" w:hint="cs"/>
          <w:szCs w:val="19"/>
          <w:rtl/>
        </w:rPr>
        <w:t>35</w:t>
      </w:r>
      <w:r w:rsidR="009F4FD9">
        <w:rPr>
          <w:rFonts w:cs="Miriam" w:hint="cs"/>
          <w:szCs w:val="19"/>
          <w:rtl/>
        </w:rPr>
        <w:t>]</w:t>
      </w:r>
      <w:r>
        <w:rPr>
          <w:rFonts w:hint="cs"/>
          <w:rtl/>
        </w:rPr>
        <w:t xml:space="preserve">, </w:t>
      </w:r>
      <w:r w:rsidRPr="009F4FD9">
        <w:rPr>
          <w:rFonts w:cs="Miriam" w:hint="cs"/>
          <w:szCs w:val="19"/>
          <w:rtl/>
        </w:rPr>
        <w:t>בעמ' 161</w:t>
      </w:r>
      <w:r w:rsidRPr="00417F6B">
        <w:rPr>
          <w:rFonts w:hint="cs"/>
          <w:rtl/>
        </w:rPr>
        <w:t>)</w:t>
      </w:r>
      <w:r>
        <w:rPr>
          <w:rFonts w:hint="cs"/>
          <w:rtl/>
        </w:rPr>
        <w:t>.</w:t>
      </w:r>
      <w:r w:rsidR="00BA5973">
        <w:rPr>
          <w:rFonts w:hint="cs"/>
          <w:rtl/>
        </w:rPr>
        <w:t xml:space="preserve"> </w:t>
      </w:r>
      <w:r w:rsidRPr="00417F6B">
        <w:rPr>
          <w:rFonts w:hint="cs"/>
          <w:rtl/>
        </w:rPr>
        <w:t xml:space="preserve"> </w:t>
      </w:r>
    </w:p>
    <w:p w:rsidR="005D40E8" w:rsidRPr="00417F6B" w:rsidRDefault="006A180F" w:rsidP="00D802CA">
      <w:pPr>
        <w:pStyle w:val="a"/>
        <w:rPr>
          <w:rFonts w:hint="cs"/>
          <w:rtl/>
        </w:rPr>
      </w:pPr>
      <w:r>
        <w:rPr>
          <w:rFonts w:hint="cs"/>
          <w:rtl/>
        </w:rPr>
        <w:t>24.</w:t>
      </w:r>
      <w:r w:rsidRPr="00417F6B">
        <w:rPr>
          <w:rFonts w:hint="cs"/>
          <w:rtl/>
        </w:rPr>
        <w:tab/>
        <w:t>בשנת 1980 הציעה ועדה בראשות</w:t>
      </w:r>
      <w:r>
        <w:rPr>
          <w:rFonts w:hint="cs"/>
          <w:rtl/>
        </w:rPr>
        <w:t>ו של</w:t>
      </w:r>
      <w:r w:rsidRPr="00417F6B">
        <w:rPr>
          <w:rFonts w:hint="cs"/>
          <w:rtl/>
        </w:rPr>
        <w:t xml:space="preserve"> </w:t>
      </w:r>
      <w:r w:rsidRPr="00702E0F">
        <w:rPr>
          <w:rFonts w:cs="Miriam" w:hint="cs"/>
          <w:szCs w:val="19"/>
          <w:rtl/>
        </w:rPr>
        <w:t>השופט אגרנט</w:t>
      </w:r>
      <w:r w:rsidRPr="00417F6B">
        <w:rPr>
          <w:rFonts w:hint="cs"/>
          <w:rtl/>
        </w:rPr>
        <w:t xml:space="preserve"> לשנות את המצב הקיים</w:t>
      </w:r>
      <w:r>
        <w:rPr>
          <w:rFonts w:hint="cs"/>
          <w:rtl/>
        </w:rPr>
        <w:t>,</w:t>
      </w:r>
      <w:r w:rsidRPr="00417F6B">
        <w:rPr>
          <w:rFonts w:hint="cs"/>
          <w:rtl/>
        </w:rPr>
        <w:t xml:space="preserve"> ואף גיבשה הצעה לחלק כללי חדש לחוק </w:t>
      </w:r>
      <w:r>
        <w:rPr>
          <w:rFonts w:hint="cs"/>
          <w:rtl/>
        </w:rPr>
        <w:t>ה</w:t>
      </w:r>
      <w:r w:rsidRPr="00417F6B">
        <w:rPr>
          <w:rFonts w:hint="cs"/>
          <w:rtl/>
        </w:rPr>
        <w:t xml:space="preserve">עונשין. בין היתר דנה הוועדה בסעיף 42 </w:t>
      </w:r>
      <w:r>
        <w:rPr>
          <w:rFonts w:hint="cs"/>
          <w:rtl/>
        </w:rPr>
        <w:t>(</w:t>
      </w:r>
      <w:r w:rsidRPr="00417F6B">
        <w:rPr>
          <w:rFonts w:hint="cs"/>
          <w:rtl/>
        </w:rPr>
        <w:t>"העדר עניין ציבורי"</w:t>
      </w:r>
      <w:r>
        <w:rPr>
          <w:rFonts w:hint="cs"/>
          <w:rtl/>
        </w:rPr>
        <w:t>),</w:t>
      </w:r>
      <w:r w:rsidRPr="00417F6B">
        <w:rPr>
          <w:rFonts w:hint="cs"/>
          <w:rtl/>
        </w:rPr>
        <w:t xml:space="preserve"> וזו הייתה לשון הצעתה: "מצא בית המשפט כי אדם ביצע עבירה, אך לאור טיבו של המעשה ונסיבותיו לא יהיה זה מן הצדק להרשיעו וכי אינטרס הציבור לא ייפגע אם לא יורשע</w:t>
      </w:r>
      <w:r>
        <w:rPr>
          <w:rFonts w:hint="cs"/>
          <w:rtl/>
        </w:rPr>
        <w:t xml:space="preserve"> </w:t>
      </w:r>
      <w:r w:rsidR="00D802CA">
        <w:rPr>
          <w:rFonts w:hint="eastAsia"/>
          <w:rtl/>
        </w:rPr>
        <w:t>–</w:t>
      </w:r>
      <w:r>
        <w:rPr>
          <w:rFonts w:hint="cs"/>
          <w:rtl/>
        </w:rPr>
        <w:t xml:space="preserve"> </w:t>
      </w:r>
      <w:r w:rsidRPr="00417F6B">
        <w:rPr>
          <w:rFonts w:hint="cs"/>
          <w:rtl/>
        </w:rPr>
        <w:t>רשאי בית המשפט לפטור אותו מאחריות פלילית" (</w:t>
      </w:r>
      <w:r>
        <w:rPr>
          <w:rFonts w:hint="cs"/>
          <w:rtl/>
        </w:rPr>
        <w:t xml:space="preserve">ראו </w:t>
      </w:r>
      <w:r w:rsidRPr="00417F6B">
        <w:rPr>
          <w:rFonts w:hint="cs"/>
          <w:rtl/>
        </w:rPr>
        <w:t>"</w:t>
      </w:r>
      <w:r w:rsidR="00702E0F">
        <w:rPr>
          <w:rFonts w:hint="cs"/>
          <w:rtl/>
        </w:rPr>
        <w:t>הצעת חלק כללי ל</w:t>
      </w:r>
      <w:hyperlink r:id="rId168" w:history="1">
        <w:r w:rsidR="00A7624C" w:rsidRPr="00A7624C">
          <w:rPr>
            <w:rStyle w:val="Hyperlink"/>
            <w:rtl/>
          </w:rPr>
          <w:t>חוק עונשין</w:t>
        </w:r>
      </w:hyperlink>
      <w:r w:rsidR="00702E0F">
        <w:rPr>
          <w:rFonts w:hint="cs"/>
          <w:rtl/>
        </w:rPr>
        <w:t xml:space="preserve"> חדש ודברי הסבר</w:t>
      </w:r>
      <w:r w:rsidRPr="00417F6B">
        <w:rPr>
          <w:rFonts w:hint="cs"/>
          <w:rtl/>
        </w:rPr>
        <w:t xml:space="preserve">" </w:t>
      </w:r>
      <w:r w:rsidR="00702E0F">
        <w:rPr>
          <w:rFonts w:cs="Miriam" w:hint="cs"/>
          <w:szCs w:val="19"/>
          <w:rtl/>
        </w:rPr>
        <w:t>[</w:t>
      </w:r>
      <w:r w:rsidR="00BA5973">
        <w:rPr>
          <w:rFonts w:cs="Miriam" w:hint="cs"/>
          <w:szCs w:val="19"/>
          <w:rtl/>
        </w:rPr>
        <w:t>40</w:t>
      </w:r>
      <w:r w:rsidR="00702E0F">
        <w:rPr>
          <w:rFonts w:cs="Miriam" w:hint="cs"/>
          <w:szCs w:val="19"/>
          <w:rtl/>
        </w:rPr>
        <w:t>]</w:t>
      </w:r>
      <w:r>
        <w:rPr>
          <w:rFonts w:hint="cs"/>
          <w:rtl/>
        </w:rPr>
        <w:t>,</w:t>
      </w:r>
      <w:r w:rsidR="00702E0F">
        <w:rPr>
          <w:rFonts w:hint="cs"/>
          <w:rtl/>
        </w:rPr>
        <w:t xml:space="preserve"> </w:t>
      </w:r>
      <w:r w:rsidR="00702E0F">
        <w:rPr>
          <w:rFonts w:cs="Miriam" w:hint="cs"/>
          <w:szCs w:val="19"/>
          <w:rtl/>
        </w:rPr>
        <w:t>בעמ'</w:t>
      </w:r>
      <w:r w:rsidRPr="00702E0F">
        <w:rPr>
          <w:rFonts w:cs="Miriam" w:hint="cs"/>
          <w:szCs w:val="19"/>
          <w:rtl/>
        </w:rPr>
        <w:t xml:space="preserve"> 209</w:t>
      </w:r>
      <w:r w:rsidRPr="00417F6B">
        <w:rPr>
          <w:rFonts w:hint="cs"/>
          <w:rtl/>
        </w:rPr>
        <w:t xml:space="preserve">). בדברי ההסבר להצעתה </w:t>
      </w:r>
      <w:r>
        <w:rPr>
          <w:rFonts w:hint="cs"/>
          <w:rtl/>
        </w:rPr>
        <w:t>ה</w:t>
      </w:r>
      <w:r w:rsidRPr="00417F6B">
        <w:rPr>
          <w:rFonts w:hint="cs"/>
          <w:rtl/>
        </w:rPr>
        <w:t>סבירה הוועדה את הצורך בסעיף זה:</w:t>
      </w:r>
    </w:p>
    <w:p w:rsidR="006A180F" w:rsidRPr="00417F6B" w:rsidRDefault="00D35634" w:rsidP="00D802CA">
      <w:pPr>
        <w:pStyle w:val="a4"/>
        <w:rPr>
          <w:rFonts w:hint="cs"/>
          <w:rtl/>
        </w:rPr>
      </w:pPr>
      <w:r>
        <w:rPr>
          <w:rtl/>
        </w:rPr>
        <w:br w:type="page"/>
      </w:r>
      <w:r w:rsidR="006A180F" w:rsidRPr="00417F6B">
        <w:rPr>
          <w:rFonts w:hint="cs"/>
          <w:rtl/>
        </w:rPr>
        <w:t>"ההשתבצות הפורמאלי</w:t>
      </w:r>
      <w:r w:rsidR="006A180F" w:rsidRPr="00417F6B">
        <w:rPr>
          <w:rFonts w:hint="eastAsia"/>
          <w:rtl/>
        </w:rPr>
        <w:t>ת</w:t>
      </w:r>
      <w:r w:rsidR="006A180F" w:rsidRPr="00417F6B">
        <w:rPr>
          <w:rFonts w:hint="cs"/>
          <w:rtl/>
        </w:rPr>
        <w:t xml:space="preserve"> של המעשה בהוראה חקוקה, המגדירה עבירה פלילית פלונית, כשלעצמה אינה מוכיחה בהכרח שיש באותו מעשה לפחות מינימום של אנטי</w:t>
      </w:r>
      <w:r w:rsidR="00D802CA" w:rsidRPr="00D802CA">
        <w:rPr>
          <w:position w:val="4"/>
          <w:rtl/>
        </w:rPr>
        <w:t>-</w:t>
      </w:r>
      <w:r w:rsidR="006A180F">
        <w:rPr>
          <w:rFonts w:hint="cs"/>
          <w:rtl/>
        </w:rPr>
        <w:t>חברתיות האופיינית לעבירה פלילית"</w:t>
      </w:r>
      <w:r w:rsidR="006A180F" w:rsidRPr="00417F6B">
        <w:rPr>
          <w:rFonts w:hint="cs"/>
          <w:rtl/>
        </w:rPr>
        <w:t xml:space="preserve"> (</w:t>
      </w:r>
      <w:r w:rsidR="006A180F" w:rsidRPr="00702E0F">
        <w:rPr>
          <w:rFonts w:cs="Miriam" w:hint="cs"/>
          <w:szCs w:val="19"/>
          <w:rtl/>
        </w:rPr>
        <w:t>שם</w:t>
      </w:r>
      <w:r w:rsidR="006A180F" w:rsidRPr="001317B2">
        <w:rPr>
          <w:rFonts w:hint="cs"/>
          <w:rtl/>
        </w:rPr>
        <w:t xml:space="preserve">, </w:t>
      </w:r>
      <w:r w:rsidR="00702E0F" w:rsidRPr="00702E0F">
        <w:rPr>
          <w:rFonts w:cs="Miriam" w:hint="cs"/>
          <w:szCs w:val="19"/>
          <w:rtl/>
        </w:rPr>
        <w:t>ב</w:t>
      </w:r>
      <w:r w:rsidR="006A180F" w:rsidRPr="00702E0F">
        <w:rPr>
          <w:rFonts w:cs="Miriam" w:hint="cs"/>
          <w:szCs w:val="19"/>
          <w:rtl/>
        </w:rPr>
        <w:t>עמ' 227</w:t>
      </w:r>
      <w:r w:rsidR="006A180F" w:rsidRPr="001317B2">
        <w:rPr>
          <w:rFonts w:hint="cs"/>
          <w:rtl/>
        </w:rPr>
        <w:t>).</w:t>
      </w:r>
    </w:p>
    <w:p w:rsidR="006A180F" w:rsidRPr="00A41D54" w:rsidRDefault="006A180F" w:rsidP="00D802CA">
      <w:pPr>
        <w:pStyle w:val="a"/>
        <w:rPr>
          <w:rFonts w:hint="cs"/>
          <w:sz w:val="28"/>
          <w:rtl/>
        </w:rPr>
      </w:pPr>
      <w:r w:rsidRPr="00417F6B">
        <w:rPr>
          <w:rFonts w:hint="cs"/>
          <w:rtl/>
        </w:rPr>
        <w:t xml:space="preserve">ביום 6.1.1992 הוגשה הצעת חוק </w:t>
      </w:r>
      <w:r>
        <w:rPr>
          <w:rFonts w:hint="cs"/>
          <w:rtl/>
        </w:rPr>
        <w:t xml:space="preserve">נוספת </w:t>
      </w:r>
      <w:r w:rsidR="00D802CA">
        <w:rPr>
          <w:rFonts w:hint="eastAsia"/>
          <w:rtl/>
        </w:rPr>
        <w:t xml:space="preserve">– הצעת </w:t>
      </w:r>
      <w:hyperlink r:id="rId169" w:history="1">
        <w:r w:rsidR="00A7624C" w:rsidRPr="00A7624C">
          <w:rPr>
            <w:rStyle w:val="Hyperlink"/>
            <w:rtl/>
          </w:rPr>
          <w:t>חוק העונשין</w:t>
        </w:r>
      </w:hyperlink>
      <w:r w:rsidRPr="00417F6B">
        <w:rPr>
          <w:rFonts w:hint="cs"/>
          <w:rtl/>
        </w:rPr>
        <w:t xml:space="preserve"> (חלק </w:t>
      </w:r>
      <w:r w:rsidR="00D802CA">
        <w:rPr>
          <w:rFonts w:hint="cs"/>
          <w:rtl/>
        </w:rPr>
        <w:t>מקדמי</w:t>
      </w:r>
      <w:r w:rsidRPr="00417F6B">
        <w:rPr>
          <w:rFonts w:hint="cs"/>
          <w:rtl/>
        </w:rPr>
        <w:t xml:space="preserve"> וחלק </w:t>
      </w:r>
      <w:r w:rsidR="00D802CA">
        <w:rPr>
          <w:rFonts w:hint="cs"/>
          <w:rtl/>
        </w:rPr>
        <w:t>כללי</w:t>
      </w:r>
      <w:r w:rsidRPr="00417F6B">
        <w:rPr>
          <w:rFonts w:hint="cs"/>
          <w:rtl/>
        </w:rPr>
        <w:t>), תשנ"ב-1992. הצעה זו התבססה במידה רבה על הצעתה של הוועדה בראשותו של</w:t>
      </w:r>
      <w:r>
        <w:rPr>
          <w:rFonts w:hint="cs"/>
          <w:rtl/>
        </w:rPr>
        <w:t xml:space="preserve"> השופט</w:t>
      </w:r>
      <w:r w:rsidRPr="00417F6B">
        <w:rPr>
          <w:rFonts w:hint="cs"/>
          <w:rtl/>
        </w:rPr>
        <w:t xml:space="preserve"> אגרנט (</w:t>
      </w:r>
      <w:r>
        <w:rPr>
          <w:rFonts w:hint="cs"/>
          <w:rtl/>
        </w:rPr>
        <w:t xml:space="preserve">ראו: </w:t>
      </w:r>
      <w:r w:rsidRPr="00280EC2">
        <w:rPr>
          <w:rFonts w:hint="cs"/>
          <w:rtl/>
        </w:rPr>
        <w:t>מגן</w:t>
      </w:r>
      <w:r w:rsidR="00280EC2">
        <w:rPr>
          <w:rFonts w:hint="cs"/>
          <w:rtl/>
        </w:rPr>
        <w:t xml:space="preserve"> </w:t>
      </w:r>
      <w:r w:rsidR="00280EC2">
        <w:rPr>
          <w:rFonts w:cs="Miriam" w:hint="cs"/>
          <w:szCs w:val="19"/>
          <w:rtl/>
        </w:rPr>
        <w:t>[</w:t>
      </w:r>
      <w:r w:rsidR="00BA5973">
        <w:rPr>
          <w:rFonts w:cs="Miriam" w:hint="cs"/>
          <w:szCs w:val="19"/>
          <w:rtl/>
        </w:rPr>
        <w:t>36</w:t>
      </w:r>
      <w:r w:rsidR="00280EC2">
        <w:rPr>
          <w:rFonts w:cs="Miriam" w:hint="cs"/>
          <w:szCs w:val="19"/>
          <w:rtl/>
        </w:rPr>
        <w:t>]</w:t>
      </w:r>
      <w:r w:rsidRPr="00280EC2">
        <w:rPr>
          <w:rFonts w:hint="cs"/>
          <w:rtl/>
        </w:rPr>
        <w:t>,</w:t>
      </w:r>
      <w:r>
        <w:rPr>
          <w:rFonts w:hint="cs"/>
          <w:rtl/>
        </w:rPr>
        <w:t xml:space="preserve"> </w:t>
      </w:r>
      <w:r w:rsidRPr="00280EC2">
        <w:rPr>
          <w:rFonts w:cs="Miriam" w:hint="cs"/>
          <w:szCs w:val="19"/>
          <w:rtl/>
        </w:rPr>
        <w:t>בעמ' 42</w:t>
      </w:r>
      <w:r w:rsidRPr="00417F6B">
        <w:rPr>
          <w:rFonts w:hint="cs"/>
          <w:rtl/>
        </w:rPr>
        <w:t xml:space="preserve">; </w:t>
      </w:r>
      <w:r w:rsidRPr="00280EC2">
        <w:rPr>
          <w:rFonts w:hint="cs"/>
          <w:rtl/>
        </w:rPr>
        <w:t>מ' גור</w:t>
      </w:r>
      <w:r w:rsidRPr="00BA5973">
        <w:rPr>
          <w:rFonts w:hint="cs"/>
          <w:position w:val="4"/>
          <w:rtl/>
        </w:rPr>
        <w:t>-</w:t>
      </w:r>
      <w:hyperlink r:id="rId170" w:history="1">
        <w:r w:rsidR="00AD4D63" w:rsidRPr="00AD4D63">
          <w:rPr>
            <w:rStyle w:val="Hyperlink"/>
            <w:rtl/>
          </w:rPr>
          <w:t xml:space="preserve">אריה "הצעת חוק העונשין (חלק </w:t>
        </w:r>
      </w:hyperlink>
      <w:r w:rsidRPr="00417F6B">
        <w:rPr>
          <w:rFonts w:hint="cs"/>
          <w:rtl/>
        </w:rPr>
        <w:t xml:space="preserve"> מקדמי וחלק כללי), התשנ"ב</w:t>
      </w:r>
      <w:r w:rsidRPr="00BA5973">
        <w:rPr>
          <w:rFonts w:hint="cs"/>
          <w:rtl/>
        </w:rPr>
        <w:t>-</w:t>
      </w:r>
      <w:r w:rsidR="00D802CA">
        <w:rPr>
          <w:rFonts w:hint="cs"/>
          <w:rtl/>
        </w:rPr>
        <w:t>1992</w:t>
      </w:r>
      <w:r w:rsidRPr="00417F6B">
        <w:rPr>
          <w:rFonts w:hint="cs"/>
          <w:rtl/>
        </w:rPr>
        <w:t xml:space="preserve">" </w:t>
      </w:r>
      <w:r>
        <w:rPr>
          <w:rFonts w:hint="cs"/>
          <w:rtl/>
        </w:rPr>
        <w:t>(להלן</w:t>
      </w:r>
      <w:r w:rsidR="00280EC2">
        <w:rPr>
          <w:rFonts w:hint="cs"/>
          <w:rtl/>
        </w:rPr>
        <w:t xml:space="preserve"> –</w:t>
      </w:r>
      <w:r>
        <w:rPr>
          <w:rFonts w:hint="cs"/>
          <w:rtl/>
        </w:rPr>
        <w:t xml:space="preserve"> </w:t>
      </w:r>
      <w:r w:rsidRPr="00280EC2">
        <w:rPr>
          <w:rFonts w:hint="cs"/>
          <w:rtl/>
        </w:rPr>
        <w:t>גור</w:t>
      </w:r>
      <w:r w:rsidRPr="00BA5973">
        <w:rPr>
          <w:rFonts w:hint="cs"/>
          <w:position w:val="4"/>
          <w:rtl/>
        </w:rPr>
        <w:t>-</w:t>
      </w:r>
      <w:r w:rsidRPr="00280EC2">
        <w:rPr>
          <w:rFonts w:hint="cs"/>
          <w:rtl/>
        </w:rPr>
        <w:t>אריה</w:t>
      </w:r>
      <w:r w:rsidR="00280EC2">
        <w:rPr>
          <w:rFonts w:hint="cs"/>
          <w:rtl/>
        </w:rPr>
        <w:t xml:space="preserve"> </w:t>
      </w:r>
      <w:r w:rsidR="00280EC2">
        <w:rPr>
          <w:rFonts w:cs="Miriam" w:hint="cs"/>
          <w:szCs w:val="19"/>
          <w:rtl/>
        </w:rPr>
        <w:t>[</w:t>
      </w:r>
      <w:r w:rsidR="00BA5973">
        <w:rPr>
          <w:rFonts w:cs="Miriam" w:hint="cs"/>
          <w:szCs w:val="19"/>
          <w:rtl/>
        </w:rPr>
        <w:t>37</w:t>
      </w:r>
      <w:r w:rsidR="00280EC2">
        <w:rPr>
          <w:rFonts w:cs="Miriam" w:hint="cs"/>
          <w:szCs w:val="19"/>
          <w:rtl/>
        </w:rPr>
        <w:t>]</w:t>
      </w:r>
      <w:r>
        <w:rPr>
          <w:rFonts w:hint="cs"/>
          <w:rtl/>
        </w:rPr>
        <w:t>)</w:t>
      </w:r>
      <w:r w:rsidRPr="00417F6B">
        <w:rPr>
          <w:rFonts w:hint="cs"/>
          <w:rtl/>
        </w:rPr>
        <w:t xml:space="preserve">). בסעיף 53 להצעת החוק </w:t>
      </w:r>
      <w:r>
        <w:rPr>
          <w:rFonts w:hint="cs"/>
          <w:rtl/>
        </w:rPr>
        <w:t>נקבעה הגנת זוטי הדברים</w:t>
      </w:r>
      <w:r w:rsidRPr="00417F6B">
        <w:rPr>
          <w:rFonts w:hint="cs"/>
          <w:rtl/>
        </w:rPr>
        <w:t xml:space="preserve"> כנ</w:t>
      </w:r>
      <w:r>
        <w:rPr>
          <w:rFonts w:hint="cs"/>
          <w:rtl/>
        </w:rPr>
        <w:t>וס</w:t>
      </w:r>
      <w:r w:rsidRPr="00417F6B">
        <w:rPr>
          <w:rFonts w:hint="cs"/>
          <w:rtl/>
        </w:rPr>
        <w:t xml:space="preserve">חה היום. </w:t>
      </w:r>
      <w:r w:rsidRPr="00417F6B">
        <w:rPr>
          <w:rFonts w:hint="cs"/>
          <w:sz w:val="28"/>
          <w:rtl/>
        </w:rPr>
        <w:t xml:space="preserve">בדברי ההסבר להצעת החוק </w:t>
      </w:r>
      <w:r>
        <w:rPr>
          <w:rFonts w:hint="cs"/>
          <w:sz w:val="28"/>
          <w:rtl/>
        </w:rPr>
        <w:t>נאמר</w:t>
      </w:r>
      <w:r w:rsidRPr="00417F6B">
        <w:rPr>
          <w:rFonts w:hint="cs"/>
          <w:sz w:val="28"/>
          <w:rtl/>
        </w:rPr>
        <w:t>:</w:t>
      </w:r>
    </w:p>
    <w:p w:rsidR="001019FA" w:rsidRDefault="006A180F" w:rsidP="001019FA">
      <w:pPr>
        <w:pStyle w:val="a4"/>
        <w:spacing w:after="120"/>
        <w:rPr>
          <w:rFonts w:hint="cs"/>
          <w:rtl/>
        </w:rPr>
      </w:pPr>
      <w:r w:rsidRPr="00417F6B">
        <w:rPr>
          <w:rFonts w:hint="cs"/>
          <w:rtl/>
        </w:rPr>
        <w:t>"סייג זה, הנובע מכך שהחוק אינו עוסק בזוטות</w:t>
      </w:r>
      <w:r>
        <w:rPr>
          <w:rFonts w:hint="cs"/>
          <w:rtl/>
        </w:rPr>
        <w:t xml:space="preserve"> </w:t>
      </w:r>
      <w:r w:rsidR="00A83939">
        <w:rPr>
          <w:rFonts w:hint="cs"/>
          <w:rtl/>
        </w:rPr>
        <w:t>–</w:t>
      </w:r>
      <w:r w:rsidR="00A83939">
        <w:t>D</w:t>
      </w:r>
      <w:r w:rsidR="00A83939" w:rsidRPr="00417F6B">
        <w:t xml:space="preserve">e </w:t>
      </w:r>
      <w:r w:rsidR="00A83939">
        <w:t>M</w:t>
      </w:r>
      <w:r w:rsidRPr="00417F6B">
        <w:t xml:space="preserve">inimis </w:t>
      </w:r>
      <w:r w:rsidR="00A83939">
        <w:t>N</w:t>
      </w:r>
      <w:r w:rsidRPr="00417F6B">
        <w:t xml:space="preserve">on </w:t>
      </w:r>
      <w:r w:rsidR="00A83939">
        <w:t>C</w:t>
      </w:r>
      <w:r w:rsidRPr="00417F6B">
        <w:t xml:space="preserve">urat </w:t>
      </w:r>
      <w:r w:rsidR="00A83939">
        <w:t>L</w:t>
      </w:r>
      <w:r w:rsidRPr="00417F6B">
        <w:t>ex</w:t>
      </w:r>
      <w:r w:rsidR="00A83939">
        <w:rPr>
          <w:rFonts w:hint="cs"/>
          <w:rtl/>
        </w:rPr>
        <w:t xml:space="preserve"> –</w:t>
      </w:r>
      <w:r>
        <w:rPr>
          <w:rFonts w:hint="cs"/>
          <w:rtl/>
        </w:rPr>
        <w:t xml:space="preserve"> </w:t>
      </w:r>
      <w:r w:rsidRPr="00417F6B">
        <w:rPr>
          <w:rFonts w:hint="cs"/>
          <w:rtl/>
        </w:rPr>
        <w:t>הנו, בחלקו, חידוש לעומת החוק הקיים.</w:t>
      </w:r>
    </w:p>
    <w:p w:rsidR="001019FA" w:rsidRDefault="001019FA" w:rsidP="001019FA">
      <w:pPr>
        <w:pStyle w:val="a4"/>
        <w:spacing w:after="120"/>
        <w:rPr>
          <w:rFonts w:hint="cs"/>
          <w:rtl/>
        </w:rPr>
      </w:pPr>
      <w:r>
        <w:rPr>
          <w:rFonts w:hint="cs"/>
          <w:rtl/>
        </w:rPr>
        <w:t>.</w:t>
      </w:r>
      <w:r w:rsidR="006A180F" w:rsidRPr="00417F6B">
        <w:rPr>
          <w:rFonts w:hint="cs"/>
          <w:rtl/>
        </w:rPr>
        <w:t>..</w:t>
      </w:r>
    </w:p>
    <w:p w:rsidR="006A180F" w:rsidRDefault="006A180F" w:rsidP="001019FA">
      <w:pPr>
        <w:pStyle w:val="a4"/>
        <w:rPr>
          <w:rFonts w:hint="cs"/>
          <w:rtl/>
        </w:rPr>
      </w:pPr>
      <w:r w:rsidRPr="00417F6B">
        <w:rPr>
          <w:rFonts w:hint="cs"/>
          <w:rtl/>
        </w:rPr>
        <w:t xml:space="preserve">אין זה ראוי שדווקא בית המשפט יהיה חייב להטיל עונש </w:t>
      </w:r>
      <w:r w:rsidR="001019FA">
        <w:rPr>
          <w:rFonts w:hint="cs"/>
          <w:rtl/>
        </w:rPr>
        <w:t>'</w:t>
      </w:r>
      <w:r w:rsidRPr="00417F6B">
        <w:rPr>
          <w:rFonts w:hint="cs"/>
          <w:rtl/>
        </w:rPr>
        <w:t>סימלי</w:t>
      </w:r>
      <w:r w:rsidR="001019FA">
        <w:rPr>
          <w:rFonts w:hint="cs"/>
          <w:rtl/>
        </w:rPr>
        <w:t>'</w:t>
      </w:r>
      <w:r w:rsidRPr="00417F6B">
        <w:rPr>
          <w:rFonts w:hint="cs"/>
          <w:rtl/>
        </w:rPr>
        <w:t xml:space="preserve"> רק משום שהוא נטול סמכות למתוח את קו הגבול המינימלי הקונקרטי, לפי נסיבות העניין, בין התחום הפורמלי של האיסור הפלילי ובין מה שאינו מגיע עד כדי פליליות"</w:t>
      </w:r>
      <w:r>
        <w:rPr>
          <w:rFonts w:hint="cs"/>
          <w:rtl/>
        </w:rPr>
        <w:t xml:space="preserve"> </w:t>
      </w:r>
      <w:r w:rsidRPr="00417F6B">
        <w:rPr>
          <w:rFonts w:hint="cs"/>
          <w:rtl/>
        </w:rPr>
        <w:t xml:space="preserve">(הצעת </w:t>
      </w:r>
      <w:hyperlink r:id="rId171" w:history="1">
        <w:r w:rsidR="00A7624C" w:rsidRPr="00A7624C">
          <w:rPr>
            <w:rStyle w:val="Hyperlink"/>
            <w:rtl/>
          </w:rPr>
          <w:t>חוק העונשין</w:t>
        </w:r>
      </w:hyperlink>
      <w:r w:rsidRPr="00417F6B">
        <w:rPr>
          <w:rFonts w:hint="cs"/>
          <w:rtl/>
        </w:rPr>
        <w:t xml:space="preserve"> (חלק מקדמי וחלק כללי), תשנ"ב-1992, </w:t>
      </w:r>
      <w:r w:rsidR="001019FA">
        <w:rPr>
          <w:rFonts w:hint="cs"/>
          <w:rtl/>
        </w:rPr>
        <w:t>בעמ' 139</w:t>
      </w:r>
      <w:r w:rsidRPr="00417F6B">
        <w:rPr>
          <w:rFonts w:hint="cs"/>
          <w:rtl/>
        </w:rPr>
        <w:t xml:space="preserve">). </w:t>
      </w:r>
    </w:p>
    <w:p w:rsidR="006A180F" w:rsidRDefault="006A180F" w:rsidP="006A180F">
      <w:pPr>
        <w:pStyle w:val="a"/>
        <w:rPr>
          <w:rFonts w:hint="cs"/>
          <w:rtl/>
        </w:rPr>
      </w:pPr>
      <w:r w:rsidRPr="00417F6B">
        <w:rPr>
          <w:rFonts w:hint="cs"/>
          <w:rtl/>
        </w:rPr>
        <w:t>מדברים אלה אנו למדים</w:t>
      </w:r>
      <w:r>
        <w:rPr>
          <w:rFonts w:hint="cs"/>
          <w:rtl/>
        </w:rPr>
        <w:t xml:space="preserve"> את שכבר אמרנו, היינו</w:t>
      </w:r>
      <w:r w:rsidRPr="00417F6B">
        <w:rPr>
          <w:rFonts w:hint="cs"/>
          <w:rtl/>
        </w:rPr>
        <w:t xml:space="preserve"> מטרתו </w:t>
      </w:r>
      <w:r>
        <w:rPr>
          <w:rFonts w:hint="cs"/>
          <w:rtl/>
        </w:rPr>
        <w:t>של סעיף זה הייתה להעניק לבית המשפט את הסמכות להוציא מגדר האחריות הפלילית מעשים שעומדים בקריטריונים הטכניים להתקיימותה של עבירה, אך אינם עוברים את רף הפליליות הנדרש, מבחינה מהותית, לשם הרשעה.</w:t>
      </w:r>
    </w:p>
    <w:p w:rsidR="006A180F" w:rsidRPr="003F6F41" w:rsidRDefault="006A180F" w:rsidP="001019FA">
      <w:pPr>
        <w:pStyle w:val="a"/>
        <w:rPr>
          <w:rFonts w:hint="cs"/>
          <w:rtl/>
        </w:rPr>
      </w:pPr>
      <w:r w:rsidRPr="001019FA">
        <w:rPr>
          <w:rFonts w:cs="Miriam" w:hint="cs"/>
          <w:szCs w:val="19"/>
          <w:rtl/>
        </w:rPr>
        <w:t>פרשנותו של הסייג ואמות המידה ליישומו</w:t>
      </w:r>
    </w:p>
    <w:p w:rsidR="006A180F" w:rsidRPr="00417F6B" w:rsidRDefault="006A180F" w:rsidP="00D802CA">
      <w:pPr>
        <w:pStyle w:val="a"/>
        <w:rPr>
          <w:rFonts w:hint="cs"/>
          <w:rtl/>
        </w:rPr>
      </w:pPr>
      <w:r>
        <w:rPr>
          <w:rFonts w:hint="cs"/>
          <w:rtl/>
        </w:rPr>
        <w:t>25.</w:t>
      </w:r>
      <w:r w:rsidRPr="00417F6B">
        <w:rPr>
          <w:rFonts w:hint="cs"/>
          <w:rtl/>
        </w:rPr>
        <w:tab/>
        <w:t xml:space="preserve">בגוף </w:t>
      </w:r>
      <w:hyperlink r:id="rId172" w:history="1">
        <w:r w:rsidR="00323C68" w:rsidRPr="00323C68">
          <w:rPr>
            <w:color w:val="0000FF"/>
            <w:u w:val="single"/>
            <w:rtl/>
          </w:rPr>
          <w:t>סעיף 34יז</w:t>
        </w:r>
      </w:hyperlink>
      <w:r>
        <w:rPr>
          <w:rFonts w:hint="cs"/>
          <w:rtl/>
        </w:rPr>
        <w:t xml:space="preserve"> </w:t>
      </w:r>
      <w:r w:rsidR="00D802CA">
        <w:rPr>
          <w:rFonts w:hint="cs"/>
          <w:rtl/>
        </w:rPr>
        <w:t>ל</w:t>
      </w:r>
      <w:hyperlink r:id="rId173" w:history="1">
        <w:r w:rsidR="00A7624C" w:rsidRPr="00A7624C">
          <w:rPr>
            <w:rStyle w:val="Hyperlink"/>
            <w:rtl/>
          </w:rPr>
          <w:t>חוק העונשין</w:t>
        </w:r>
      </w:hyperlink>
      <w:r w:rsidR="00D802CA">
        <w:rPr>
          <w:rFonts w:hint="cs"/>
          <w:rtl/>
        </w:rPr>
        <w:t xml:space="preserve"> </w:t>
      </w:r>
      <w:r w:rsidRPr="00417F6B">
        <w:rPr>
          <w:rFonts w:hint="cs"/>
          <w:rtl/>
        </w:rPr>
        <w:t>מפורטים ארבעה תנאים מצטברים ליישומו ו</w:t>
      </w:r>
      <w:r>
        <w:rPr>
          <w:rFonts w:hint="cs"/>
          <w:rtl/>
        </w:rPr>
        <w:t xml:space="preserve">אלה </w:t>
      </w:r>
      <w:r w:rsidRPr="00417F6B">
        <w:rPr>
          <w:rFonts w:hint="cs"/>
          <w:rtl/>
        </w:rPr>
        <w:t>הם: "</w:t>
      </w:r>
      <w:r w:rsidR="001019FA">
        <w:rPr>
          <w:rFonts w:hint="cs"/>
          <w:rtl/>
        </w:rPr>
        <w:t>...</w:t>
      </w:r>
      <w:r w:rsidRPr="00417F6B">
        <w:rPr>
          <w:rFonts w:hint="cs"/>
          <w:rtl/>
        </w:rPr>
        <w:t>טיבו של המעשה, נסיבותיו, תוצאותיו והאינטרס הציבורי</w:t>
      </w:r>
      <w:r w:rsidR="001019FA">
        <w:rPr>
          <w:rFonts w:hint="cs"/>
          <w:rtl/>
        </w:rPr>
        <w:t>...</w:t>
      </w:r>
      <w:r w:rsidRPr="00417F6B">
        <w:rPr>
          <w:rFonts w:hint="cs"/>
          <w:rtl/>
        </w:rPr>
        <w:t>"</w:t>
      </w:r>
      <w:r>
        <w:rPr>
          <w:rFonts w:hint="cs"/>
          <w:rtl/>
        </w:rPr>
        <w:t>.</w:t>
      </w:r>
      <w:r w:rsidRPr="00417F6B">
        <w:rPr>
          <w:rFonts w:hint="cs"/>
          <w:rtl/>
        </w:rPr>
        <w:t xml:space="preserve"> בחינתו של מעשה לאור התנאים הללו אמורה להוביל למסקנה אם במעשה קל ערך עסקינן. ניסוחו הכללי של הסעיף מעלה את השאלה בדבר המשקל </w:t>
      </w:r>
      <w:r>
        <w:rPr>
          <w:rFonts w:hint="cs"/>
          <w:rtl/>
        </w:rPr>
        <w:t>הסגולי של כל אחד מה</w:t>
      </w:r>
      <w:r w:rsidRPr="00417F6B">
        <w:rPr>
          <w:rFonts w:hint="cs"/>
          <w:rtl/>
        </w:rPr>
        <w:t>תנאי</w:t>
      </w:r>
      <w:r>
        <w:rPr>
          <w:rFonts w:hint="cs"/>
          <w:rtl/>
        </w:rPr>
        <w:t>ם</w:t>
      </w:r>
      <w:r w:rsidRPr="00417F6B">
        <w:rPr>
          <w:rFonts w:hint="cs"/>
          <w:rtl/>
        </w:rPr>
        <w:t xml:space="preserve">, </w:t>
      </w:r>
      <w:r>
        <w:rPr>
          <w:rFonts w:hint="cs"/>
          <w:rtl/>
        </w:rPr>
        <w:t>ו</w:t>
      </w:r>
      <w:r w:rsidRPr="00417F6B">
        <w:rPr>
          <w:rFonts w:hint="cs"/>
          <w:rtl/>
        </w:rPr>
        <w:t>כיצד לערוך את הש</w:t>
      </w:r>
      <w:r>
        <w:rPr>
          <w:rFonts w:hint="cs"/>
          <w:rtl/>
        </w:rPr>
        <w:t>ק</w:t>
      </w:r>
      <w:r w:rsidRPr="00417F6B">
        <w:rPr>
          <w:rFonts w:hint="cs"/>
          <w:rtl/>
        </w:rPr>
        <w:t>לול הסופי בי</w:t>
      </w:r>
      <w:r>
        <w:rPr>
          <w:rFonts w:hint="cs"/>
          <w:rtl/>
        </w:rPr>
        <w:t>ניה</w:t>
      </w:r>
      <w:r w:rsidRPr="00417F6B">
        <w:rPr>
          <w:rFonts w:hint="cs"/>
          <w:rtl/>
        </w:rPr>
        <w:t>ם. נראה שלא ניתן לקבוע מראש את המשקל המדויק שיש לייחס לכל תנאי</w:t>
      </w:r>
      <w:r>
        <w:rPr>
          <w:rFonts w:hint="cs"/>
          <w:rtl/>
        </w:rPr>
        <w:t>,</w:t>
      </w:r>
      <w:r w:rsidRPr="00417F6B">
        <w:rPr>
          <w:rFonts w:hint="cs"/>
          <w:rtl/>
        </w:rPr>
        <w:t xml:space="preserve"> שכן </w:t>
      </w:r>
      <w:r>
        <w:rPr>
          <w:rFonts w:hint="cs"/>
          <w:rtl/>
        </w:rPr>
        <w:t>לכל מקרה ה</w:t>
      </w:r>
      <w:r w:rsidRPr="00417F6B">
        <w:rPr>
          <w:rFonts w:hint="cs"/>
          <w:rtl/>
        </w:rPr>
        <w:t>נסי</w:t>
      </w:r>
      <w:r>
        <w:rPr>
          <w:rFonts w:hint="cs"/>
          <w:rtl/>
        </w:rPr>
        <w:t>בות ה</w:t>
      </w:r>
      <w:r w:rsidRPr="00417F6B">
        <w:rPr>
          <w:rFonts w:hint="cs"/>
          <w:rtl/>
        </w:rPr>
        <w:t>מיוחדות</w:t>
      </w:r>
      <w:r>
        <w:rPr>
          <w:rFonts w:hint="cs"/>
          <w:rtl/>
        </w:rPr>
        <w:t xml:space="preserve"> לו.</w:t>
      </w:r>
      <w:r w:rsidRPr="00417F6B">
        <w:rPr>
          <w:rFonts w:hint="cs"/>
          <w:rtl/>
        </w:rPr>
        <w:t xml:space="preserve"> </w:t>
      </w:r>
      <w:r>
        <w:rPr>
          <w:rFonts w:hint="cs"/>
          <w:rtl/>
        </w:rPr>
        <w:t>עם זאת הגישה הרווחת היא כי משקלו</w:t>
      </w:r>
      <w:r w:rsidRPr="00417F6B">
        <w:rPr>
          <w:rFonts w:hint="cs"/>
          <w:rtl/>
        </w:rPr>
        <w:t xml:space="preserve"> של התנאי האחרון</w:t>
      </w:r>
      <w:r>
        <w:rPr>
          <w:rFonts w:hint="cs"/>
          <w:rtl/>
        </w:rPr>
        <w:t>,</w:t>
      </w:r>
      <w:r w:rsidRPr="00417F6B">
        <w:rPr>
          <w:rFonts w:hint="cs"/>
          <w:rtl/>
        </w:rPr>
        <w:t xml:space="preserve"> בדבר האינטרס הציבורי</w:t>
      </w:r>
      <w:r>
        <w:rPr>
          <w:rFonts w:hint="cs"/>
          <w:rtl/>
        </w:rPr>
        <w:t>,</w:t>
      </w:r>
      <w:r w:rsidRPr="00417F6B">
        <w:rPr>
          <w:rFonts w:hint="cs"/>
          <w:rtl/>
        </w:rPr>
        <w:t xml:space="preserve"> רב מ</w:t>
      </w:r>
      <w:r>
        <w:rPr>
          <w:rFonts w:hint="cs"/>
          <w:rtl/>
        </w:rPr>
        <w:t>זה של</w:t>
      </w:r>
      <w:r w:rsidRPr="00417F6B">
        <w:rPr>
          <w:rFonts w:hint="cs"/>
          <w:rtl/>
        </w:rPr>
        <w:t xml:space="preserve"> השאר </w:t>
      </w:r>
      <w:r w:rsidR="001019FA">
        <w:rPr>
          <w:rtl/>
        </w:rPr>
        <w:br/>
      </w:r>
      <w:r w:rsidRPr="00417F6B">
        <w:rPr>
          <w:rFonts w:hint="cs"/>
          <w:rtl/>
        </w:rPr>
        <w:t xml:space="preserve">(י' קדמי </w:t>
      </w:r>
      <w:r w:rsidRPr="001019FA">
        <w:rPr>
          <w:rFonts w:cs="Miriam" w:hint="cs"/>
          <w:szCs w:val="19"/>
          <w:rtl/>
        </w:rPr>
        <w:t>על הדין בפלילים</w:t>
      </w:r>
      <w:r w:rsidR="001019FA">
        <w:rPr>
          <w:rFonts w:cs="Miriam" w:hint="cs"/>
          <w:rtl/>
        </w:rPr>
        <w:t xml:space="preserve"> </w:t>
      </w:r>
      <w:r w:rsidR="001019FA">
        <w:rPr>
          <w:rFonts w:hint="eastAsia"/>
          <w:rtl/>
        </w:rPr>
        <w:t xml:space="preserve">– </w:t>
      </w:r>
      <w:hyperlink r:id="rId174" w:history="1">
        <w:r w:rsidR="00A7624C" w:rsidRPr="00A7624C">
          <w:rPr>
            <w:rStyle w:val="Hyperlink"/>
            <w:rFonts w:cs="Miriam"/>
            <w:szCs w:val="19"/>
            <w:rtl/>
          </w:rPr>
          <w:t>חוק העונשין</w:t>
        </w:r>
      </w:hyperlink>
      <w:r w:rsidRPr="00417F6B">
        <w:rPr>
          <w:rFonts w:hint="cs"/>
          <w:rtl/>
        </w:rPr>
        <w:t xml:space="preserve"> (</w:t>
      </w:r>
      <w:r w:rsidR="001019FA">
        <w:rPr>
          <w:rFonts w:hint="cs"/>
          <w:rtl/>
        </w:rPr>
        <w:t xml:space="preserve">כרך א) </w:t>
      </w:r>
      <w:r w:rsidR="001019FA">
        <w:rPr>
          <w:rFonts w:cs="Miriam" w:hint="cs"/>
          <w:szCs w:val="19"/>
          <w:rtl/>
        </w:rPr>
        <w:t>[</w:t>
      </w:r>
      <w:r w:rsidR="00BA5973">
        <w:rPr>
          <w:rFonts w:cs="Miriam" w:hint="cs"/>
          <w:szCs w:val="19"/>
          <w:rtl/>
        </w:rPr>
        <w:t>29</w:t>
      </w:r>
      <w:r w:rsidR="001019FA">
        <w:rPr>
          <w:rFonts w:cs="Miriam" w:hint="cs"/>
          <w:szCs w:val="19"/>
          <w:rtl/>
        </w:rPr>
        <w:t>]</w:t>
      </w:r>
      <w:r>
        <w:rPr>
          <w:rFonts w:hint="cs"/>
          <w:rtl/>
        </w:rPr>
        <w:t>,</w:t>
      </w:r>
      <w:r w:rsidR="001019FA">
        <w:rPr>
          <w:rFonts w:hint="cs"/>
          <w:rtl/>
        </w:rPr>
        <w:t xml:space="preserve"> </w:t>
      </w:r>
      <w:r w:rsidR="001019FA">
        <w:rPr>
          <w:rFonts w:cs="Miriam" w:hint="cs"/>
          <w:szCs w:val="19"/>
          <w:rtl/>
        </w:rPr>
        <w:t>בעמ'</w:t>
      </w:r>
      <w:r w:rsidRPr="001019FA">
        <w:rPr>
          <w:rFonts w:cs="Miriam" w:hint="cs"/>
          <w:szCs w:val="19"/>
          <w:rtl/>
        </w:rPr>
        <w:t xml:space="preserve"> 556</w:t>
      </w:r>
      <w:r w:rsidRPr="00417F6B">
        <w:rPr>
          <w:rFonts w:hint="cs"/>
          <w:rtl/>
        </w:rPr>
        <w:t xml:space="preserve">). </w:t>
      </w:r>
    </w:p>
    <w:p w:rsidR="006A180F" w:rsidRPr="00417F6B" w:rsidRDefault="00D35634" w:rsidP="0027052B">
      <w:pPr>
        <w:pStyle w:val="a"/>
        <w:rPr>
          <w:rFonts w:hint="cs"/>
          <w:rtl/>
        </w:rPr>
      </w:pPr>
      <w:r>
        <w:rPr>
          <w:rtl/>
        </w:rPr>
        <w:br w:type="page"/>
      </w:r>
      <w:r w:rsidR="006A180F">
        <w:rPr>
          <w:rFonts w:hint="cs"/>
          <w:rtl/>
        </w:rPr>
        <w:t>קושי אחר ביישום ההגנה נובע מכך שהיא</w:t>
      </w:r>
      <w:r w:rsidR="006A180F" w:rsidRPr="00417F6B">
        <w:rPr>
          <w:rFonts w:hint="cs"/>
          <w:rtl/>
        </w:rPr>
        <w:t xml:space="preserve"> אינה מפרטת א</w:t>
      </w:r>
      <w:r w:rsidR="006A180F">
        <w:rPr>
          <w:rFonts w:hint="cs"/>
          <w:rtl/>
        </w:rPr>
        <w:t>י</w:t>
      </w:r>
      <w:r w:rsidR="006A180F" w:rsidRPr="00417F6B">
        <w:rPr>
          <w:rFonts w:hint="cs"/>
          <w:rtl/>
        </w:rPr>
        <w:t xml:space="preserve">לו מקרים נופלים </w:t>
      </w:r>
      <w:r w:rsidR="006A180F">
        <w:rPr>
          <w:rFonts w:hint="cs"/>
          <w:rtl/>
        </w:rPr>
        <w:t>ב</w:t>
      </w:r>
      <w:r w:rsidR="006A180F" w:rsidRPr="00417F6B">
        <w:rPr>
          <w:rFonts w:hint="cs"/>
          <w:rtl/>
        </w:rPr>
        <w:t xml:space="preserve">גדרה. </w:t>
      </w:r>
      <w:r w:rsidR="006A180F" w:rsidRPr="00293B77">
        <w:rPr>
          <w:rFonts w:hint="cs"/>
          <w:rtl/>
        </w:rPr>
        <w:t xml:space="preserve">ניסוחן הכללי והרחב של הוראות החוק, שהוביל מלכתחילה לצורך בהוראה מסייגת ומצמצמת בדמותו של סייג זוטי הדברים, לא פסח גם על ניסוחה של הוראה זו (ראו </w:t>
      </w:r>
      <w:r w:rsidR="006A180F" w:rsidRPr="001019FA">
        <w:rPr>
          <w:rFonts w:hint="cs"/>
          <w:rtl/>
        </w:rPr>
        <w:t>גור</w:t>
      </w:r>
      <w:r w:rsidR="006A180F" w:rsidRPr="001019FA">
        <w:rPr>
          <w:rFonts w:hint="cs"/>
          <w:position w:val="4"/>
          <w:rtl/>
        </w:rPr>
        <w:t>-</w:t>
      </w:r>
      <w:r w:rsidR="006A180F" w:rsidRPr="001019FA">
        <w:rPr>
          <w:rFonts w:hint="cs"/>
          <w:rtl/>
        </w:rPr>
        <w:t>אריה</w:t>
      </w:r>
      <w:r w:rsidR="001019FA">
        <w:rPr>
          <w:rFonts w:hint="cs"/>
          <w:rtl/>
        </w:rPr>
        <w:t xml:space="preserve"> </w:t>
      </w:r>
      <w:r w:rsidR="001019FA">
        <w:rPr>
          <w:rFonts w:cs="Miriam" w:hint="cs"/>
          <w:szCs w:val="19"/>
          <w:rtl/>
        </w:rPr>
        <w:t>[</w:t>
      </w:r>
      <w:r w:rsidR="00BA5973">
        <w:rPr>
          <w:rFonts w:cs="Miriam" w:hint="cs"/>
          <w:szCs w:val="19"/>
          <w:rtl/>
        </w:rPr>
        <w:t>37</w:t>
      </w:r>
      <w:r w:rsidR="001019FA">
        <w:rPr>
          <w:rFonts w:cs="Miriam" w:hint="cs"/>
          <w:szCs w:val="19"/>
          <w:rtl/>
        </w:rPr>
        <w:t>]</w:t>
      </w:r>
      <w:r w:rsidR="006A180F" w:rsidRPr="001019FA">
        <w:rPr>
          <w:rFonts w:hint="cs"/>
          <w:rtl/>
        </w:rPr>
        <w:t>,</w:t>
      </w:r>
      <w:r w:rsidR="006A180F" w:rsidRPr="00293B77">
        <w:rPr>
          <w:rFonts w:hint="cs"/>
          <w:rtl/>
        </w:rPr>
        <w:t xml:space="preserve"> </w:t>
      </w:r>
      <w:r w:rsidR="006A180F" w:rsidRPr="001019FA">
        <w:rPr>
          <w:rFonts w:cs="Miriam" w:hint="cs"/>
          <w:szCs w:val="19"/>
          <w:rtl/>
        </w:rPr>
        <w:t>בעמ' 70</w:t>
      </w:r>
      <w:r w:rsidR="006A180F" w:rsidRPr="00293B77">
        <w:rPr>
          <w:rFonts w:hint="cs"/>
          <w:rtl/>
        </w:rPr>
        <w:t>).</w:t>
      </w:r>
      <w:r w:rsidR="006A180F" w:rsidRPr="00417F6B">
        <w:rPr>
          <w:rFonts w:hint="cs"/>
          <w:rtl/>
        </w:rPr>
        <w:t xml:space="preserve"> פרשנות מצמצמת תאפשר את החלתו של הסייג רק באותם מקרים </w:t>
      </w:r>
      <w:r w:rsidR="006A180F">
        <w:rPr>
          <w:rFonts w:hint="cs"/>
          <w:rtl/>
        </w:rPr>
        <w:t>ש</w:t>
      </w:r>
      <w:r w:rsidR="006A180F" w:rsidRPr="00417F6B">
        <w:rPr>
          <w:rFonts w:hint="cs"/>
          <w:rtl/>
        </w:rPr>
        <w:t>בהם ברור כי מדובר במעשה "קל ערך"</w:t>
      </w:r>
      <w:r w:rsidR="006A180F">
        <w:rPr>
          <w:rFonts w:hint="cs"/>
          <w:rtl/>
        </w:rPr>
        <w:t xml:space="preserve"> באספקלריה של הפגיעה באינטרסים ציבוריים, וללא כל התחשבות בנסיבותיו האישיות </w:t>
      </w:r>
      <w:r w:rsidR="006A180F" w:rsidRPr="00417F6B">
        <w:rPr>
          <w:rFonts w:hint="cs"/>
          <w:rtl/>
        </w:rPr>
        <w:t>של העושה. פרופ' מ' גור</w:t>
      </w:r>
      <w:r w:rsidR="006A180F" w:rsidRPr="001019FA">
        <w:rPr>
          <w:rFonts w:hint="cs"/>
          <w:position w:val="4"/>
          <w:rtl/>
        </w:rPr>
        <w:t>-</w:t>
      </w:r>
      <w:r w:rsidR="006A180F" w:rsidRPr="00417F6B">
        <w:rPr>
          <w:rFonts w:hint="cs"/>
          <w:rtl/>
        </w:rPr>
        <w:t>אריה</w:t>
      </w:r>
      <w:r w:rsidR="006A180F">
        <w:rPr>
          <w:rFonts w:hint="cs"/>
          <w:rtl/>
        </w:rPr>
        <w:t>,</w:t>
      </w:r>
      <w:r w:rsidR="006A180F" w:rsidRPr="00417F6B">
        <w:rPr>
          <w:rFonts w:hint="cs"/>
          <w:rtl/>
        </w:rPr>
        <w:t xml:space="preserve"> המצדדת בפרשנות שכזו</w:t>
      </w:r>
      <w:r w:rsidR="006A180F">
        <w:rPr>
          <w:rFonts w:hint="cs"/>
          <w:rtl/>
        </w:rPr>
        <w:t>,</w:t>
      </w:r>
      <w:r w:rsidR="006A180F" w:rsidRPr="00417F6B">
        <w:rPr>
          <w:rFonts w:hint="cs"/>
          <w:rtl/>
        </w:rPr>
        <w:t xml:space="preserve"> גורסת כי "</w:t>
      </w:r>
      <w:r w:rsidR="0027052B">
        <w:rPr>
          <w:rFonts w:hint="cs"/>
          <w:rtl/>
        </w:rPr>
        <w:t>...</w:t>
      </w:r>
      <w:r w:rsidR="0027052B" w:rsidRPr="00417F6B">
        <w:rPr>
          <w:rFonts w:hint="cs"/>
          <w:rtl/>
        </w:rPr>
        <w:t>בית</w:t>
      </w:r>
      <w:r w:rsidR="0027052B" w:rsidRPr="0027052B">
        <w:rPr>
          <w:position w:val="4"/>
          <w:rtl/>
        </w:rPr>
        <w:t>-</w:t>
      </w:r>
      <w:r w:rsidR="006A180F" w:rsidRPr="00417F6B">
        <w:rPr>
          <w:rFonts w:hint="cs"/>
          <w:rtl/>
        </w:rPr>
        <w:t>המשפט חייב להגביל את עצמו לבחינת טיבו הקונקרטי של המעשה במטרה לוודא האם הוא מקיים אחר המידה המינימלית של סכנה המצדיקה הטלת אחריות פלילית"</w:t>
      </w:r>
      <w:r w:rsidR="006A180F">
        <w:rPr>
          <w:rFonts w:hint="cs"/>
          <w:rtl/>
        </w:rPr>
        <w:t xml:space="preserve"> </w:t>
      </w:r>
      <w:r w:rsidR="006A180F" w:rsidRPr="00417F6B">
        <w:rPr>
          <w:rFonts w:hint="cs"/>
          <w:rtl/>
        </w:rPr>
        <w:t>(</w:t>
      </w:r>
      <w:r w:rsidR="006A180F" w:rsidRPr="001019FA">
        <w:rPr>
          <w:rFonts w:cs="Miriam" w:hint="cs"/>
          <w:szCs w:val="19"/>
          <w:rtl/>
        </w:rPr>
        <w:t>שם</w:t>
      </w:r>
      <w:r w:rsidR="006A180F" w:rsidRPr="00417F6B">
        <w:rPr>
          <w:rFonts w:hint="cs"/>
          <w:rtl/>
        </w:rPr>
        <w:t xml:space="preserve">, </w:t>
      </w:r>
      <w:r w:rsidR="001019FA" w:rsidRPr="001019FA">
        <w:rPr>
          <w:rFonts w:cs="Miriam" w:hint="cs"/>
          <w:szCs w:val="19"/>
          <w:rtl/>
        </w:rPr>
        <w:t>ב</w:t>
      </w:r>
      <w:r w:rsidR="006A180F" w:rsidRPr="001019FA">
        <w:rPr>
          <w:rFonts w:cs="Miriam" w:hint="cs"/>
          <w:szCs w:val="19"/>
          <w:rtl/>
        </w:rPr>
        <w:t>עמ' 70</w:t>
      </w:r>
      <w:r w:rsidR="006A180F" w:rsidRPr="00417F6B">
        <w:rPr>
          <w:rFonts w:hint="cs"/>
          <w:rtl/>
        </w:rPr>
        <w:t xml:space="preserve">). מנגד, פרשנות מרחיבה תאפשר את החלתו של הסייג גם </w:t>
      </w:r>
      <w:r w:rsidR="006A180F">
        <w:rPr>
          <w:rFonts w:hint="cs"/>
          <w:rtl/>
        </w:rPr>
        <w:t>ע</w:t>
      </w:r>
      <w:r w:rsidR="006A180F" w:rsidRPr="00417F6B">
        <w:rPr>
          <w:rFonts w:hint="cs"/>
          <w:rtl/>
        </w:rPr>
        <w:t>ל</w:t>
      </w:r>
      <w:r w:rsidR="006A180F">
        <w:rPr>
          <w:rFonts w:hint="cs"/>
          <w:rtl/>
        </w:rPr>
        <w:t xml:space="preserve"> </w:t>
      </w:r>
      <w:r w:rsidR="006A180F" w:rsidRPr="00417F6B">
        <w:rPr>
          <w:rFonts w:hint="cs"/>
          <w:rtl/>
        </w:rPr>
        <w:t xml:space="preserve">מעשים </w:t>
      </w:r>
      <w:r w:rsidR="006A180F">
        <w:rPr>
          <w:rFonts w:hint="cs"/>
          <w:rtl/>
        </w:rPr>
        <w:t>אשר יש מקום להעניש בגינם, אולם נסיבות שונות שאינן קשורות במעשה דווקא עוקרות ממנו את חומרתו, כגון הזמן הרב שחלף מאז ביצוע העבירה, התנהגות המבצע ונסיבותיו האישיות</w:t>
      </w:r>
      <w:r w:rsidR="006A180F" w:rsidRPr="00417F6B">
        <w:rPr>
          <w:rFonts w:hint="cs"/>
          <w:rtl/>
        </w:rPr>
        <w:t xml:space="preserve"> (</w:t>
      </w:r>
      <w:r w:rsidR="006A180F">
        <w:rPr>
          <w:rFonts w:hint="cs"/>
          <w:rtl/>
        </w:rPr>
        <w:t xml:space="preserve">ראו: העמדה שהובעה במאמרו של פרופ' </w:t>
      </w:r>
      <w:r w:rsidR="006A180F" w:rsidRPr="00417F6B">
        <w:rPr>
          <w:rFonts w:hint="cs"/>
          <w:rtl/>
        </w:rPr>
        <w:t>מ' קרמניצר "תיקון 39 ל</w:t>
      </w:r>
      <w:hyperlink r:id="rId175" w:history="1">
        <w:r w:rsidR="00A7624C" w:rsidRPr="00A7624C">
          <w:rPr>
            <w:rStyle w:val="Hyperlink"/>
            <w:rtl/>
          </w:rPr>
          <w:t>חוק העונשין</w:t>
        </w:r>
      </w:hyperlink>
      <w:r w:rsidR="0027052B">
        <w:rPr>
          <w:rFonts w:hint="cs"/>
          <w:rtl/>
        </w:rPr>
        <w:t xml:space="preserve"> – </w:t>
      </w:r>
      <w:r w:rsidR="006A180F" w:rsidRPr="00417F6B">
        <w:rPr>
          <w:rFonts w:hint="cs"/>
          <w:rtl/>
        </w:rPr>
        <w:t xml:space="preserve">חמש שנים לחקיקתו" </w:t>
      </w:r>
      <w:r w:rsidR="0027052B">
        <w:rPr>
          <w:rFonts w:cs="Miriam" w:hint="cs"/>
          <w:szCs w:val="19"/>
          <w:rtl/>
        </w:rPr>
        <w:t>[</w:t>
      </w:r>
      <w:r w:rsidR="00BA5973">
        <w:rPr>
          <w:rFonts w:cs="Miriam" w:hint="cs"/>
          <w:szCs w:val="19"/>
          <w:rtl/>
        </w:rPr>
        <w:t>38</w:t>
      </w:r>
      <w:r w:rsidR="0027052B">
        <w:rPr>
          <w:rFonts w:cs="Miriam" w:hint="cs"/>
          <w:szCs w:val="19"/>
          <w:rtl/>
        </w:rPr>
        <w:t>]</w:t>
      </w:r>
      <w:r w:rsidR="006A180F">
        <w:rPr>
          <w:rFonts w:hint="cs"/>
          <w:rtl/>
        </w:rPr>
        <w:t>,</w:t>
      </w:r>
      <w:r w:rsidR="0027052B">
        <w:rPr>
          <w:rFonts w:hint="cs"/>
          <w:rtl/>
        </w:rPr>
        <w:t xml:space="preserve"> </w:t>
      </w:r>
      <w:r w:rsidR="0027052B">
        <w:rPr>
          <w:rFonts w:cs="Miriam" w:hint="cs"/>
          <w:szCs w:val="19"/>
          <w:rtl/>
        </w:rPr>
        <w:t>בעמ'</w:t>
      </w:r>
      <w:r w:rsidR="006A180F" w:rsidRPr="0027052B">
        <w:rPr>
          <w:rFonts w:cs="Miriam" w:hint="cs"/>
          <w:szCs w:val="19"/>
          <w:rtl/>
        </w:rPr>
        <w:t xml:space="preserve"> 80</w:t>
      </w:r>
      <w:r w:rsidR="006A180F">
        <w:rPr>
          <w:rFonts w:hint="cs"/>
          <w:rtl/>
        </w:rPr>
        <w:t xml:space="preserve">; כן </w:t>
      </w:r>
      <w:r w:rsidR="006A180F" w:rsidRPr="001019FA">
        <w:rPr>
          <w:rFonts w:hint="cs"/>
          <w:rtl/>
        </w:rPr>
        <w:t>מגן</w:t>
      </w:r>
      <w:r w:rsidR="001019FA">
        <w:rPr>
          <w:rFonts w:hint="cs"/>
          <w:rtl/>
        </w:rPr>
        <w:t xml:space="preserve"> </w:t>
      </w:r>
      <w:r w:rsidR="001019FA">
        <w:rPr>
          <w:rFonts w:cs="Miriam" w:hint="cs"/>
          <w:szCs w:val="19"/>
          <w:rtl/>
        </w:rPr>
        <w:t>[</w:t>
      </w:r>
      <w:r w:rsidR="00BA5973">
        <w:rPr>
          <w:rFonts w:cs="Miriam" w:hint="cs"/>
          <w:szCs w:val="19"/>
          <w:rtl/>
        </w:rPr>
        <w:t>36</w:t>
      </w:r>
      <w:r w:rsidR="001019FA">
        <w:rPr>
          <w:rFonts w:cs="Miriam" w:hint="cs"/>
          <w:szCs w:val="19"/>
          <w:rtl/>
        </w:rPr>
        <w:t>]</w:t>
      </w:r>
      <w:r w:rsidR="006A180F" w:rsidRPr="001019FA">
        <w:rPr>
          <w:rFonts w:hint="cs"/>
          <w:rtl/>
        </w:rPr>
        <w:t>,</w:t>
      </w:r>
      <w:r w:rsidR="006A180F">
        <w:rPr>
          <w:rFonts w:hint="cs"/>
          <w:rtl/>
        </w:rPr>
        <w:t xml:space="preserve"> </w:t>
      </w:r>
      <w:r w:rsidR="006A180F" w:rsidRPr="0027052B">
        <w:rPr>
          <w:rFonts w:cs="Miriam" w:hint="cs"/>
          <w:szCs w:val="19"/>
          <w:rtl/>
        </w:rPr>
        <w:t xml:space="preserve">בעמ' </w:t>
      </w:r>
      <w:r w:rsidR="0027052B" w:rsidRPr="0027052B">
        <w:rPr>
          <w:rFonts w:cs="Miriam" w:hint="cs"/>
          <w:szCs w:val="19"/>
          <w:rtl/>
        </w:rPr>
        <w:t>5</w:t>
      </w:r>
      <w:r w:rsidR="0027052B">
        <w:rPr>
          <w:rFonts w:cs="Miriam" w:hint="cs"/>
          <w:szCs w:val="19"/>
          <w:rtl/>
        </w:rPr>
        <w:t>4</w:t>
      </w:r>
      <w:r w:rsidR="006A180F" w:rsidRPr="0027052B">
        <w:rPr>
          <w:rFonts w:cs="Miriam" w:hint="cs"/>
          <w:szCs w:val="19"/>
          <w:rtl/>
        </w:rPr>
        <w:t>-</w:t>
      </w:r>
      <w:r w:rsidR="0027052B" w:rsidRPr="0027052B">
        <w:rPr>
          <w:rFonts w:cs="Miriam" w:hint="cs"/>
          <w:szCs w:val="19"/>
          <w:rtl/>
        </w:rPr>
        <w:t>5</w:t>
      </w:r>
      <w:r w:rsidR="0027052B">
        <w:rPr>
          <w:rFonts w:cs="Miriam" w:hint="cs"/>
          <w:szCs w:val="19"/>
          <w:rtl/>
        </w:rPr>
        <w:t>2</w:t>
      </w:r>
      <w:r w:rsidR="006A180F" w:rsidRPr="00417F6B">
        <w:rPr>
          <w:rFonts w:hint="cs"/>
          <w:rtl/>
        </w:rPr>
        <w:t>).</w:t>
      </w:r>
    </w:p>
    <w:p w:rsidR="00D35634" w:rsidRDefault="006A180F" w:rsidP="006E1444">
      <w:pPr>
        <w:pStyle w:val="a"/>
        <w:spacing w:line="280" w:lineRule="exact"/>
        <w:rPr>
          <w:rStyle w:val="Ruller50"/>
          <w:rFonts w:ascii="Times New Roman" w:hAnsi="Times New Roman"/>
          <w:spacing w:val="0"/>
          <w:sz w:val="20"/>
          <w:szCs w:val="24"/>
          <w:rtl/>
        </w:rPr>
      </w:pPr>
      <w:r>
        <w:rPr>
          <w:rFonts w:hint="cs"/>
          <w:rtl/>
        </w:rPr>
        <w:t>26.</w:t>
      </w:r>
      <w:r>
        <w:rPr>
          <w:rFonts w:hint="cs"/>
          <w:rtl/>
        </w:rPr>
        <w:tab/>
      </w:r>
      <w:r w:rsidRPr="00417F6B">
        <w:rPr>
          <w:rFonts w:hint="cs"/>
          <w:rtl/>
        </w:rPr>
        <w:t>גם במגמה העולה מן הפסיקה יש כדי לספק קווים מנחים לבחינתו של הסעיף. ב</w:t>
      </w:r>
      <w:hyperlink r:id="rId176" w:history="1">
        <w:r w:rsidR="004C5B7C" w:rsidRPr="00AD4D63">
          <w:rPr>
            <w:rStyle w:val="Hyperlink"/>
            <w:rFonts w:cs="Miriam" w:hint="eastAsia"/>
            <w:szCs w:val="19"/>
            <w:rtl/>
          </w:rPr>
          <w:t>ע</w:t>
        </w:r>
        <w:r w:rsidR="004C5B7C" w:rsidRPr="00AD4D63">
          <w:rPr>
            <w:rStyle w:val="Hyperlink"/>
            <w:rFonts w:cs="Miriam"/>
            <w:szCs w:val="19"/>
            <w:rtl/>
          </w:rPr>
          <w:t>"פ 4596/98</w:t>
        </w:r>
      </w:hyperlink>
      <w:r w:rsidRPr="0027052B">
        <w:rPr>
          <w:rFonts w:hint="cs"/>
          <w:rtl/>
        </w:rPr>
        <w:t xml:space="preserve"> </w:t>
      </w:r>
      <w:r w:rsidRPr="0027052B">
        <w:rPr>
          <w:rFonts w:cs="Miriam" w:hint="cs"/>
          <w:szCs w:val="19"/>
          <w:rtl/>
        </w:rPr>
        <w:t>פלונית נ</w:t>
      </w:r>
      <w:r w:rsidR="0027052B" w:rsidRPr="0027052B">
        <w:rPr>
          <w:rFonts w:cs="Miriam" w:hint="cs"/>
          <w:szCs w:val="19"/>
          <w:rtl/>
        </w:rPr>
        <w:t>'</w:t>
      </w:r>
      <w:r w:rsidRPr="0027052B">
        <w:rPr>
          <w:rFonts w:cs="Miriam" w:hint="cs"/>
          <w:szCs w:val="19"/>
          <w:rtl/>
        </w:rPr>
        <w:t xml:space="preserve"> מדינת ישראל</w:t>
      </w:r>
      <w:r w:rsidR="0027052B">
        <w:rPr>
          <w:rFonts w:cs="Miriam" w:hint="cs"/>
          <w:szCs w:val="19"/>
          <w:rtl/>
        </w:rPr>
        <w:t xml:space="preserve"> [10]</w:t>
      </w:r>
      <w:r w:rsidRPr="00417F6B">
        <w:rPr>
          <w:rFonts w:hint="cs"/>
          <w:rtl/>
        </w:rPr>
        <w:t xml:space="preserve"> נקבע איסור גורף בדבר שימוש בכוח של </w:t>
      </w:r>
      <w:r w:rsidRPr="006E1444">
        <w:rPr>
          <w:rFonts w:hint="cs"/>
          <w:spacing w:val="-2"/>
          <w:rtl/>
        </w:rPr>
        <w:t xml:space="preserve">הורים כלפי ילדיהם. </w:t>
      </w:r>
      <w:r w:rsidRPr="006E1444">
        <w:rPr>
          <w:rFonts w:cs="Miriam" w:hint="cs"/>
          <w:spacing w:val="-2"/>
          <w:szCs w:val="19"/>
          <w:rtl/>
        </w:rPr>
        <w:t>השופטת ביניש</w:t>
      </w:r>
      <w:r w:rsidRPr="006E1444">
        <w:rPr>
          <w:rFonts w:hint="cs"/>
          <w:spacing w:val="-2"/>
          <w:rtl/>
        </w:rPr>
        <w:t xml:space="preserve"> עמדה על הקושי באיסור שכזה וציינה כי "יטען הטוען כי בקביעתנו זו, אנו גוזרים על הציבור גזרה שלא יוכל לעמוד בה... </w:t>
      </w:r>
      <w:r w:rsidR="00307E40" w:rsidRPr="006E1444">
        <w:rPr>
          <w:rFonts w:hint="cs"/>
          <w:spacing w:val="-2"/>
          <w:rtl/>
        </w:rPr>
        <w:t xml:space="preserve">עם זאת, </w:t>
      </w:r>
      <w:r w:rsidRPr="006E1444">
        <w:rPr>
          <w:rFonts w:hint="cs"/>
          <w:spacing w:val="-2"/>
          <w:rtl/>
        </w:rPr>
        <w:t>אין לשכוח כי להורה עומדות ההגנות הקבועות ב</w:t>
      </w:r>
      <w:hyperlink r:id="rId177" w:history="1">
        <w:r w:rsidR="00A7624C" w:rsidRPr="00A7624C">
          <w:rPr>
            <w:rStyle w:val="Hyperlink"/>
            <w:spacing w:val="-2"/>
            <w:rtl/>
          </w:rPr>
          <w:t>חוק העונשין</w:t>
        </w:r>
      </w:hyperlink>
      <w:r w:rsidRPr="006E1444">
        <w:rPr>
          <w:rFonts w:hint="cs"/>
          <w:spacing w:val="-2"/>
          <w:rtl/>
        </w:rPr>
        <w:t>... בנוסף</w:t>
      </w:r>
      <w:r w:rsidR="00307E40" w:rsidRPr="006E1444">
        <w:rPr>
          <w:rFonts w:hint="cs"/>
          <w:spacing w:val="-2"/>
          <w:rtl/>
        </w:rPr>
        <w:t>,</w:t>
      </w:r>
      <w:r w:rsidRPr="006E1444">
        <w:rPr>
          <w:rFonts w:hint="cs"/>
          <w:spacing w:val="-2"/>
          <w:rtl/>
        </w:rPr>
        <w:t xml:space="preserve"> קיימות בדין הפלילי 'מסננות' מספיקות, </w:t>
      </w:r>
      <w:r w:rsidR="00307E40" w:rsidRPr="006E1444">
        <w:rPr>
          <w:rFonts w:hint="cs"/>
          <w:spacing w:val="-2"/>
          <w:rtl/>
        </w:rPr>
        <w:t>על</w:t>
      </w:r>
      <w:r w:rsidR="00307E40" w:rsidRPr="006E1444">
        <w:rPr>
          <w:spacing w:val="-2"/>
          <w:position w:val="4"/>
          <w:rtl/>
        </w:rPr>
        <w:t>-</w:t>
      </w:r>
      <w:r w:rsidRPr="006E1444">
        <w:rPr>
          <w:rFonts w:hint="cs"/>
          <w:spacing w:val="-2"/>
          <w:rtl/>
        </w:rPr>
        <w:t>מנת שמקרים קלי ערך לא ייכנסו לגדרו... כן מצויה בדין הפלילי הגנת 'זוטי דברים' (</w:t>
      </w:r>
      <w:hyperlink r:id="rId178" w:history="1">
        <w:r w:rsidR="00323C68" w:rsidRPr="00323C68">
          <w:rPr>
            <w:color w:val="0000FF"/>
            <w:spacing w:val="-2"/>
            <w:u w:val="single"/>
            <w:rtl/>
          </w:rPr>
          <w:t>סעיף 34יז</w:t>
        </w:r>
      </w:hyperlink>
      <w:r w:rsidRPr="006E1444">
        <w:rPr>
          <w:rFonts w:hint="cs"/>
          <w:spacing w:val="-2"/>
          <w:rtl/>
        </w:rPr>
        <w:t xml:space="preserve"> ל</w:t>
      </w:r>
      <w:hyperlink r:id="rId179" w:history="1">
        <w:r w:rsidR="00A7624C" w:rsidRPr="00A7624C">
          <w:rPr>
            <w:rStyle w:val="Hyperlink"/>
            <w:spacing w:val="-2"/>
            <w:rtl/>
          </w:rPr>
          <w:t>חוק העונשין</w:t>
        </w:r>
      </w:hyperlink>
      <w:r w:rsidRPr="006E1444">
        <w:rPr>
          <w:rFonts w:hint="cs"/>
          <w:spacing w:val="-2"/>
          <w:rtl/>
        </w:rPr>
        <w:t>), שאף בה יש כדי למנוע הטלת אחריות פלילית בשל שימוש בכוח קל ערך של הורה כלפי י</w:t>
      </w:r>
      <w:r w:rsidRPr="006E1444">
        <w:rPr>
          <w:rStyle w:val="Ruller50"/>
          <w:rFonts w:ascii="Times New Roman" w:hAnsi="Times New Roman" w:hint="cs"/>
          <w:spacing w:val="-2"/>
          <w:sz w:val="20"/>
          <w:szCs w:val="24"/>
          <w:rtl/>
        </w:rPr>
        <w:t>לדו"</w:t>
      </w:r>
      <w:r w:rsidR="00307E40" w:rsidRPr="006E1444">
        <w:rPr>
          <w:rStyle w:val="Ruller50"/>
          <w:rFonts w:ascii="Times New Roman" w:hAnsi="Times New Roman" w:hint="cs"/>
          <w:spacing w:val="-2"/>
          <w:sz w:val="20"/>
          <w:szCs w:val="24"/>
          <w:rtl/>
        </w:rPr>
        <w:t xml:space="preserve"> (</w:t>
      </w:r>
      <w:r w:rsidR="00307E40" w:rsidRPr="006E1444">
        <w:rPr>
          <w:rStyle w:val="Ruller50"/>
          <w:rFonts w:ascii="Times New Roman" w:hAnsi="Times New Roman" w:cs="Miriam" w:hint="cs"/>
          <w:spacing w:val="-2"/>
          <w:sz w:val="20"/>
          <w:szCs w:val="19"/>
          <w:rtl/>
        </w:rPr>
        <w:t>שם</w:t>
      </w:r>
      <w:r w:rsidR="006E1444" w:rsidRPr="006E1444">
        <w:rPr>
          <w:rStyle w:val="Ruller50"/>
          <w:rFonts w:ascii="Times New Roman" w:hAnsi="Times New Roman" w:cs="Miriam" w:hint="cs"/>
          <w:spacing w:val="-2"/>
          <w:sz w:val="20"/>
          <w:szCs w:val="19"/>
          <w:rtl/>
        </w:rPr>
        <w:t xml:space="preserve"> [10]</w:t>
      </w:r>
      <w:r w:rsidR="00307E40" w:rsidRPr="006E1444">
        <w:rPr>
          <w:rStyle w:val="Ruller50"/>
          <w:rFonts w:ascii="Times New Roman" w:hAnsi="Times New Roman" w:hint="cs"/>
          <w:spacing w:val="-2"/>
          <w:sz w:val="20"/>
          <w:szCs w:val="24"/>
          <w:rtl/>
        </w:rPr>
        <w:t xml:space="preserve">, </w:t>
      </w:r>
      <w:r w:rsidR="00307E40" w:rsidRPr="006E1444">
        <w:rPr>
          <w:rStyle w:val="Ruller50"/>
          <w:rFonts w:ascii="Times New Roman" w:hAnsi="Times New Roman" w:cs="Miriam" w:hint="cs"/>
          <w:spacing w:val="-2"/>
          <w:sz w:val="20"/>
          <w:szCs w:val="19"/>
          <w:rtl/>
        </w:rPr>
        <w:t>בעמ' 187-186</w:t>
      </w:r>
      <w:r w:rsidR="00307E40">
        <w:rPr>
          <w:rStyle w:val="Ruller50"/>
          <w:rFonts w:ascii="Times New Roman" w:hAnsi="Times New Roman" w:hint="cs"/>
          <w:spacing w:val="0"/>
          <w:sz w:val="20"/>
          <w:szCs w:val="24"/>
          <w:rtl/>
        </w:rPr>
        <w:t>)</w:t>
      </w:r>
      <w:r w:rsidRPr="0027052B">
        <w:rPr>
          <w:rStyle w:val="Ruller50"/>
          <w:rFonts w:ascii="Times New Roman" w:hAnsi="Times New Roman" w:hint="cs"/>
          <w:spacing w:val="0"/>
          <w:sz w:val="20"/>
          <w:szCs w:val="24"/>
          <w:rtl/>
        </w:rPr>
        <w:t>. ב</w:t>
      </w:r>
      <w:hyperlink r:id="rId180" w:history="1">
        <w:r w:rsidR="004C5B7C" w:rsidRPr="00AD4D63">
          <w:rPr>
            <w:rStyle w:val="Hyperlink"/>
            <w:rFonts w:cs="Miriam" w:hint="eastAsia"/>
            <w:szCs w:val="19"/>
            <w:rtl/>
            <w:lang w:eastAsia="en-US"/>
          </w:rPr>
          <w:t>ע</w:t>
        </w:r>
        <w:r w:rsidR="004C5B7C" w:rsidRPr="00AD4D63">
          <w:rPr>
            <w:rStyle w:val="Hyperlink"/>
            <w:rFonts w:cs="Miriam"/>
            <w:szCs w:val="19"/>
            <w:rtl/>
            <w:lang w:eastAsia="en-US"/>
          </w:rPr>
          <w:t>"פ 807/99</w:t>
        </w:r>
      </w:hyperlink>
      <w:r w:rsidRPr="0027052B">
        <w:rPr>
          <w:rStyle w:val="Ruller50"/>
          <w:rFonts w:ascii="Times New Roman" w:hAnsi="Times New Roman" w:cs="Miriam" w:hint="cs"/>
          <w:spacing w:val="0"/>
          <w:sz w:val="20"/>
          <w:szCs w:val="19"/>
          <w:rtl/>
        </w:rPr>
        <w:t xml:space="preserve"> מדינת ישראל נ' עזיזיאן</w:t>
      </w:r>
      <w:r w:rsidR="0027052B">
        <w:rPr>
          <w:rStyle w:val="Ruller50"/>
          <w:rFonts w:ascii="Times New Roman" w:hAnsi="Times New Roman" w:cs="Miriam" w:hint="cs"/>
          <w:spacing w:val="0"/>
          <w:sz w:val="20"/>
          <w:szCs w:val="19"/>
          <w:rtl/>
        </w:rPr>
        <w:t xml:space="preserve"> [11]</w:t>
      </w:r>
      <w:r w:rsidRPr="0027052B">
        <w:rPr>
          <w:rStyle w:val="Ruller50"/>
          <w:rFonts w:hint="cs"/>
          <w:sz w:val="28"/>
          <w:rtl/>
        </w:rPr>
        <w:t xml:space="preserve"> </w:t>
      </w:r>
      <w:r w:rsidRPr="005D40E8">
        <w:rPr>
          <w:rStyle w:val="Ruller50"/>
          <w:rFonts w:ascii="Times New Roman" w:hAnsi="Times New Roman" w:hint="cs"/>
          <w:spacing w:val="0"/>
          <w:sz w:val="20"/>
          <w:szCs w:val="24"/>
          <w:rtl/>
        </w:rPr>
        <w:t>דובר באדם שהתפרץ עם המון אדם לשתי דירות, ובמהלך ההתפרצות נטל כלי איפור. נקבע כי קיימות נסיבות שבהן הערך האפסי של החפץ הגנוב יהיה שיקול כבד משקל בהחלטה אם להרשיעו. ברם</w:t>
      </w:r>
      <w:r w:rsidR="00BA5973">
        <w:rPr>
          <w:rStyle w:val="Ruller50"/>
          <w:rFonts w:ascii="Times New Roman" w:hAnsi="Times New Roman" w:hint="cs"/>
          <w:spacing w:val="0"/>
          <w:sz w:val="20"/>
          <w:szCs w:val="24"/>
          <w:rtl/>
        </w:rPr>
        <w:t xml:space="preserve"> </w:t>
      </w:r>
      <w:r w:rsidRPr="005D40E8">
        <w:rPr>
          <w:rStyle w:val="Ruller50"/>
          <w:rFonts w:ascii="Times New Roman" w:hAnsi="Times New Roman" w:hint="cs"/>
          <w:spacing w:val="0"/>
          <w:sz w:val="20"/>
          <w:szCs w:val="24"/>
          <w:rtl/>
        </w:rPr>
        <w:t>אשר למקרה זה נקבע כי "</w:t>
      </w:r>
      <w:r w:rsidR="00307E40">
        <w:rPr>
          <w:rStyle w:val="Ruller50"/>
          <w:rFonts w:ascii="Times New Roman" w:hAnsi="Times New Roman" w:hint="cs"/>
          <w:spacing w:val="0"/>
          <w:sz w:val="20"/>
          <w:szCs w:val="24"/>
          <w:rtl/>
        </w:rPr>
        <w:t>...</w:t>
      </w:r>
      <w:r w:rsidRPr="005D40E8">
        <w:rPr>
          <w:rStyle w:val="Ruller50"/>
          <w:rFonts w:ascii="Times New Roman" w:hAnsi="Times New Roman" w:hint="cs"/>
          <w:spacing w:val="0"/>
          <w:sz w:val="20"/>
          <w:szCs w:val="24"/>
          <w:rtl/>
        </w:rPr>
        <w:t>בנסיבות כפי שהיו כאן</w:t>
      </w:r>
      <w:r w:rsidR="00307E40">
        <w:rPr>
          <w:rStyle w:val="Ruller50"/>
          <w:rFonts w:ascii="Times New Roman" w:hAnsi="Times New Roman" w:hint="cs"/>
          <w:spacing w:val="0"/>
          <w:sz w:val="20"/>
          <w:szCs w:val="24"/>
          <w:rtl/>
        </w:rPr>
        <w:t>:</w:t>
      </w:r>
      <w:r w:rsidRPr="005D40E8">
        <w:rPr>
          <w:rStyle w:val="Ruller50"/>
          <w:rFonts w:ascii="Times New Roman" w:hAnsi="Times New Roman" w:hint="cs"/>
          <w:spacing w:val="0"/>
          <w:sz w:val="20"/>
          <w:szCs w:val="24"/>
          <w:rtl/>
        </w:rPr>
        <w:t xml:space="preserve"> כאשר המון מתפרע פרץ את הדירה וההמון בוזז אותה וזורק את תכולתה למדורה... אפילו רכוש בעל ערך אפסי, לא יוכל ליהנות מהגנתו של הסעיף... מי ש</w:t>
      </w:r>
      <w:r w:rsidR="00307E40">
        <w:rPr>
          <w:rStyle w:val="Ruller50"/>
          <w:rFonts w:ascii="Times New Roman" w:hAnsi="Times New Roman" w:hint="cs"/>
          <w:spacing w:val="0"/>
          <w:sz w:val="20"/>
          <w:szCs w:val="24"/>
          <w:rtl/>
        </w:rPr>
        <w:t>'</w:t>
      </w:r>
      <w:r w:rsidRPr="005D40E8">
        <w:rPr>
          <w:rStyle w:val="Ruller50"/>
          <w:rFonts w:ascii="Times New Roman" w:hAnsi="Times New Roman" w:hint="cs"/>
          <w:spacing w:val="0"/>
          <w:sz w:val="20"/>
          <w:szCs w:val="24"/>
          <w:rtl/>
        </w:rPr>
        <w:t>מצטרף לחגיגה' בנסיבות כאלו ומשתתף בביזה של דירה כזאת לא יוכל לטעון שמדובר בדבר קל ערך שא</w:t>
      </w:r>
      <w:r w:rsidR="00CF6A04">
        <w:rPr>
          <w:rStyle w:val="Ruller50"/>
          <w:rFonts w:ascii="Times New Roman" w:hAnsi="Times New Roman" w:hint="cs"/>
          <w:spacing w:val="0"/>
          <w:sz w:val="20"/>
          <w:szCs w:val="24"/>
          <w:rtl/>
        </w:rPr>
        <w:t>ין</w:t>
      </w:r>
      <w:r w:rsidRPr="005D40E8">
        <w:rPr>
          <w:rStyle w:val="Ruller50"/>
          <w:rFonts w:ascii="Times New Roman" w:hAnsi="Times New Roman" w:hint="cs"/>
          <w:spacing w:val="0"/>
          <w:sz w:val="20"/>
          <w:szCs w:val="24"/>
          <w:rtl/>
        </w:rPr>
        <w:t xml:space="preserve"> ראוי בגללו להכתימו בפלילים. הוא מוכתם בפלילים לא בגלל ערכה הכלכלי של הגניבה אלא בגלל הנסיבות שבה נעשתה"</w:t>
      </w:r>
      <w:r w:rsidR="00CF6A04">
        <w:rPr>
          <w:rStyle w:val="Ruller50"/>
          <w:rFonts w:ascii="Times New Roman" w:hAnsi="Times New Roman" w:hint="cs"/>
          <w:spacing w:val="0"/>
          <w:sz w:val="20"/>
          <w:szCs w:val="24"/>
          <w:rtl/>
        </w:rPr>
        <w:t xml:space="preserve"> (</w:t>
      </w:r>
      <w:r w:rsidR="00CF6A04">
        <w:rPr>
          <w:rStyle w:val="Ruller50"/>
          <w:rFonts w:ascii="Times New Roman" w:hAnsi="Times New Roman" w:cs="Miriam" w:hint="cs"/>
          <w:spacing w:val="0"/>
          <w:sz w:val="20"/>
          <w:szCs w:val="19"/>
          <w:rtl/>
        </w:rPr>
        <w:t>שם</w:t>
      </w:r>
      <w:r w:rsidR="006E1444">
        <w:rPr>
          <w:rStyle w:val="Ruller50"/>
          <w:rFonts w:ascii="Times New Roman" w:hAnsi="Times New Roman" w:cs="Miriam" w:hint="cs"/>
          <w:spacing w:val="0"/>
          <w:sz w:val="20"/>
          <w:szCs w:val="19"/>
          <w:rtl/>
        </w:rPr>
        <w:t xml:space="preserve"> [11]</w:t>
      </w:r>
      <w:r w:rsidR="00D802CA">
        <w:rPr>
          <w:rStyle w:val="Ruller50"/>
          <w:rFonts w:ascii="Times New Roman" w:hAnsi="Times New Roman" w:hint="cs"/>
          <w:spacing w:val="0"/>
          <w:sz w:val="20"/>
          <w:szCs w:val="24"/>
          <w:rtl/>
        </w:rPr>
        <w:t xml:space="preserve">, </w:t>
      </w:r>
      <w:r w:rsidR="00D802CA">
        <w:rPr>
          <w:rStyle w:val="Ruller50"/>
          <w:rFonts w:ascii="Times New Roman" w:hAnsi="Times New Roman" w:cs="Miriam" w:hint="cs"/>
          <w:spacing w:val="0"/>
          <w:sz w:val="20"/>
          <w:szCs w:val="19"/>
          <w:rtl/>
        </w:rPr>
        <w:t>בעמ' 762</w:t>
      </w:r>
      <w:r w:rsidR="00CF6A04">
        <w:rPr>
          <w:rStyle w:val="Ruller50"/>
          <w:rFonts w:ascii="Times New Roman" w:hAnsi="Times New Roman" w:hint="cs"/>
          <w:spacing w:val="0"/>
          <w:sz w:val="20"/>
          <w:szCs w:val="24"/>
          <w:rtl/>
        </w:rPr>
        <w:t>)</w:t>
      </w:r>
      <w:r w:rsidRPr="005D40E8">
        <w:rPr>
          <w:rStyle w:val="Ruller50"/>
          <w:rFonts w:ascii="Times New Roman" w:hAnsi="Times New Roman" w:hint="cs"/>
          <w:spacing w:val="0"/>
          <w:sz w:val="20"/>
          <w:szCs w:val="24"/>
          <w:rtl/>
        </w:rPr>
        <w:t xml:space="preserve">. </w:t>
      </w:r>
      <w:r w:rsidRPr="00CF6A04">
        <w:rPr>
          <w:rStyle w:val="Ruller50"/>
          <w:rFonts w:ascii="Times New Roman" w:hAnsi="Times New Roman" w:hint="cs"/>
          <w:spacing w:val="0"/>
          <w:sz w:val="20"/>
          <w:szCs w:val="24"/>
          <w:rtl/>
        </w:rPr>
        <w:t>ב</w:t>
      </w:r>
      <w:hyperlink r:id="rId181" w:history="1">
        <w:r w:rsidR="004C5B7C" w:rsidRPr="00AD4D63">
          <w:rPr>
            <w:rStyle w:val="Hyperlink"/>
            <w:rFonts w:cs="Miriam" w:hint="eastAsia"/>
            <w:szCs w:val="19"/>
            <w:rtl/>
            <w:lang w:eastAsia="en-US"/>
          </w:rPr>
          <w:t>רע</w:t>
        </w:r>
        <w:r w:rsidR="004C5B7C" w:rsidRPr="00AD4D63">
          <w:rPr>
            <w:rStyle w:val="Hyperlink"/>
            <w:rFonts w:cs="Miriam"/>
            <w:szCs w:val="19"/>
            <w:rtl/>
            <w:lang w:eastAsia="en-US"/>
          </w:rPr>
          <w:t>"פ 2788/00</w:t>
        </w:r>
      </w:hyperlink>
      <w:r w:rsidRPr="00CF6A04">
        <w:rPr>
          <w:rStyle w:val="Ruller50"/>
          <w:rFonts w:ascii="Times New Roman" w:hAnsi="Times New Roman" w:cs="Miriam" w:hint="cs"/>
          <w:spacing w:val="0"/>
          <w:sz w:val="20"/>
          <w:szCs w:val="19"/>
          <w:rtl/>
        </w:rPr>
        <w:t xml:space="preserve"> נמר נ</w:t>
      </w:r>
      <w:r w:rsidR="00CF6A04" w:rsidRPr="00CF6A04">
        <w:rPr>
          <w:rStyle w:val="Ruller50"/>
          <w:rFonts w:ascii="Times New Roman" w:hAnsi="Times New Roman" w:cs="Miriam" w:hint="cs"/>
          <w:spacing w:val="0"/>
          <w:sz w:val="20"/>
          <w:szCs w:val="19"/>
          <w:rtl/>
        </w:rPr>
        <w:t>'</w:t>
      </w:r>
      <w:r w:rsidRPr="00CF6A04">
        <w:rPr>
          <w:rStyle w:val="Ruller50"/>
          <w:rFonts w:ascii="Times New Roman" w:hAnsi="Times New Roman" w:cs="Miriam" w:hint="cs"/>
          <w:spacing w:val="0"/>
          <w:sz w:val="20"/>
          <w:szCs w:val="19"/>
          <w:rtl/>
        </w:rPr>
        <w:t xml:space="preserve"> מדינת ישראל</w:t>
      </w:r>
      <w:r w:rsidR="00CF6A04">
        <w:rPr>
          <w:rStyle w:val="Ruller50"/>
          <w:rFonts w:ascii="Times New Roman" w:hAnsi="Times New Roman" w:cs="Miriam" w:hint="cs"/>
          <w:spacing w:val="0"/>
          <w:sz w:val="20"/>
          <w:szCs w:val="19"/>
          <w:rtl/>
        </w:rPr>
        <w:t xml:space="preserve"> [12]</w:t>
      </w:r>
      <w:r w:rsidRPr="00CF6A04">
        <w:rPr>
          <w:rStyle w:val="Ruller50"/>
          <w:rFonts w:ascii="Times New Roman" w:hAnsi="Times New Roman" w:hint="cs"/>
          <w:spacing w:val="0"/>
          <w:sz w:val="20"/>
          <w:szCs w:val="24"/>
          <w:rtl/>
        </w:rPr>
        <w:t xml:space="preserve"> ט</w:t>
      </w:r>
      <w:r w:rsidRPr="005D40E8">
        <w:rPr>
          <w:rStyle w:val="Ruller50"/>
          <w:rFonts w:ascii="Times New Roman" w:hAnsi="Times New Roman" w:hint="cs"/>
          <w:spacing w:val="0"/>
          <w:sz w:val="20"/>
          <w:szCs w:val="24"/>
          <w:rtl/>
        </w:rPr>
        <w:t xml:space="preserve">ען המערער, נהג מונית שהורשע בהתנהגות בלתי אדיבה ובלתי מנומסת, כי חל עליו הסייג בדבר "זוטי דברים". </w:t>
      </w:r>
      <w:r w:rsidRPr="00CF6A04">
        <w:rPr>
          <w:rStyle w:val="Ruller50"/>
          <w:rFonts w:ascii="Times New Roman" w:hAnsi="Times New Roman" w:cs="Miriam" w:hint="cs"/>
          <w:spacing w:val="0"/>
          <w:sz w:val="20"/>
          <w:szCs w:val="19"/>
          <w:rtl/>
        </w:rPr>
        <w:t xml:space="preserve">המשנה לנשיא לוין </w:t>
      </w:r>
      <w:r w:rsidRPr="005D40E8">
        <w:rPr>
          <w:rStyle w:val="Ruller50"/>
          <w:rFonts w:ascii="Times New Roman" w:hAnsi="Times New Roman" w:hint="cs"/>
          <w:spacing w:val="0"/>
          <w:sz w:val="20"/>
          <w:szCs w:val="24"/>
          <w:rtl/>
        </w:rPr>
        <w:t>קבע כי "</w:t>
      </w:r>
      <w:r w:rsidR="00CF6A04">
        <w:rPr>
          <w:rStyle w:val="Ruller50"/>
          <w:rFonts w:ascii="Times New Roman" w:hAnsi="Times New Roman" w:hint="cs"/>
          <w:spacing w:val="0"/>
          <w:sz w:val="20"/>
          <w:szCs w:val="24"/>
          <w:rtl/>
        </w:rPr>
        <w:t>...</w:t>
      </w:r>
      <w:r w:rsidRPr="005D40E8">
        <w:rPr>
          <w:rStyle w:val="Ruller50"/>
          <w:rFonts w:ascii="Times New Roman" w:hAnsi="Times New Roman" w:hint="cs"/>
          <w:spacing w:val="0"/>
          <w:sz w:val="20"/>
          <w:szCs w:val="24"/>
          <w:rtl/>
        </w:rPr>
        <w:t xml:space="preserve">הטענה בדבר </w:t>
      </w:r>
      <w:r w:rsidR="00CF6A04">
        <w:rPr>
          <w:rStyle w:val="Ruller50"/>
          <w:rFonts w:ascii="Times New Roman" w:hAnsi="Times New Roman" w:hint="cs"/>
          <w:spacing w:val="0"/>
          <w:sz w:val="20"/>
          <w:szCs w:val="24"/>
          <w:rtl/>
        </w:rPr>
        <w:t xml:space="preserve">הגנת </w:t>
      </w:r>
      <w:r w:rsidRPr="005D40E8">
        <w:rPr>
          <w:rStyle w:val="Ruller50"/>
          <w:rFonts w:ascii="Times New Roman" w:hAnsi="Times New Roman" w:hint="cs"/>
          <w:spacing w:val="0"/>
          <w:sz w:val="20"/>
          <w:szCs w:val="24"/>
          <w:rtl/>
        </w:rPr>
        <w:t xml:space="preserve">זוטי דברים מבקשת לשכנענו </w:t>
      </w:r>
    </w:p>
    <w:p w:rsidR="006A180F" w:rsidRPr="005D40E8" w:rsidRDefault="00D35634" w:rsidP="00D35634">
      <w:pPr>
        <w:pStyle w:val="a"/>
        <w:spacing w:line="280" w:lineRule="exact"/>
        <w:ind w:firstLine="0"/>
        <w:rPr>
          <w:rFonts w:hint="cs"/>
          <w:rtl/>
        </w:rPr>
      </w:pPr>
      <w:r>
        <w:rPr>
          <w:rStyle w:val="Ruller50"/>
          <w:rFonts w:ascii="Times New Roman" w:hAnsi="Times New Roman"/>
          <w:spacing w:val="0"/>
          <w:sz w:val="20"/>
          <w:szCs w:val="24"/>
          <w:rtl/>
        </w:rPr>
        <w:br w:type="page"/>
      </w:r>
      <w:r w:rsidR="006A180F" w:rsidRPr="005D40E8">
        <w:rPr>
          <w:rStyle w:val="Ruller50"/>
          <w:rFonts w:ascii="Times New Roman" w:hAnsi="Times New Roman" w:hint="cs"/>
          <w:spacing w:val="0"/>
          <w:sz w:val="20"/>
          <w:szCs w:val="24"/>
          <w:rtl/>
        </w:rPr>
        <w:t>כי לפנינו עניין פעוט, שאין להטריח בגינו את הציבור ושאין לבוא בגינו חשבון עם האחראי לו... אכן</w:t>
      </w:r>
      <w:r w:rsidR="00CF6A04">
        <w:rPr>
          <w:rStyle w:val="Ruller50"/>
          <w:rFonts w:ascii="Times New Roman" w:hAnsi="Times New Roman" w:hint="cs"/>
          <w:spacing w:val="0"/>
          <w:sz w:val="20"/>
          <w:szCs w:val="24"/>
          <w:rtl/>
        </w:rPr>
        <w:t>,</w:t>
      </w:r>
      <w:r w:rsidR="006A180F" w:rsidRPr="005D40E8">
        <w:rPr>
          <w:rStyle w:val="Ruller50"/>
          <w:rFonts w:ascii="Times New Roman" w:hAnsi="Times New Roman" w:hint="cs"/>
          <w:spacing w:val="0"/>
          <w:sz w:val="20"/>
          <w:szCs w:val="24"/>
          <w:rtl/>
        </w:rPr>
        <w:t xml:space="preserve"> לא כל יחס בוטה, גס ובלתי אדיב נופל ברשתו של החוק הפלילי. אך רצה המחוקק </w:t>
      </w:r>
      <w:r w:rsidR="00CF6A04">
        <w:rPr>
          <w:rStyle w:val="Ruller50"/>
          <w:rFonts w:ascii="Times New Roman" w:hAnsi="Times New Roman" w:hint="eastAsia"/>
          <w:spacing w:val="0"/>
          <w:sz w:val="20"/>
          <w:szCs w:val="24"/>
          <w:rtl/>
        </w:rPr>
        <w:t>–</w:t>
      </w:r>
      <w:r w:rsidR="006A180F" w:rsidRPr="005D40E8">
        <w:rPr>
          <w:rStyle w:val="Ruller50"/>
          <w:rFonts w:ascii="Times New Roman" w:hAnsi="Times New Roman" w:hint="cs"/>
          <w:spacing w:val="0"/>
          <w:sz w:val="20"/>
          <w:szCs w:val="24"/>
          <w:rtl/>
        </w:rPr>
        <w:t xml:space="preserve"> ולא במקרה רצה הוא כך </w:t>
      </w:r>
      <w:r w:rsidR="00CF6A04">
        <w:rPr>
          <w:rStyle w:val="Ruller50"/>
          <w:rFonts w:ascii="Times New Roman" w:hAnsi="Times New Roman" w:hint="eastAsia"/>
          <w:spacing w:val="0"/>
          <w:sz w:val="20"/>
          <w:szCs w:val="24"/>
          <w:rtl/>
        </w:rPr>
        <w:t>–</w:t>
      </w:r>
      <w:r w:rsidR="006A180F" w:rsidRPr="005D40E8">
        <w:rPr>
          <w:rStyle w:val="Ruller50"/>
          <w:rFonts w:ascii="Times New Roman" w:hAnsi="Times New Roman" w:hint="cs"/>
          <w:spacing w:val="0"/>
          <w:sz w:val="20"/>
          <w:szCs w:val="24"/>
          <w:rtl/>
        </w:rPr>
        <w:t xml:space="preserve"> שיחסם האמור של משרתי הציבור בתחום החברה ייפול אף ייפול בתחומיו של המשפט הפלילי"</w:t>
      </w:r>
      <w:r w:rsidR="00D802CA">
        <w:rPr>
          <w:rStyle w:val="Ruller50"/>
          <w:rFonts w:ascii="Times New Roman" w:hAnsi="Times New Roman" w:hint="cs"/>
          <w:spacing w:val="0"/>
          <w:sz w:val="20"/>
          <w:szCs w:val="24"/>
          <w:rtl/>
        </w:rPr>
        <w:t xml:space="preserve"> (</w:t>
      </w:r>
      <w:r w:rsidR="00D802CA" w:rsidRPr="00D802CA">
        <w:rPr>
          <w:rStyle w:val="Ruller50"/>
          <w:rFonts w:ascii="Times New Roman" w:hAnsi="Times New Roman" w:cs="Miriam" w:hint="cs"/>
          <w:spacing w:val="0"/>
          <w:sz w:val="20"/>
          <w:szCs w:val="19"/>
          <w:rtl/>
        </w:rPr>
        <w:t>שם</w:t>
      </w:r>
      <w:r w:rsidR="006E1444">
        <w:rPr>
          <w:rStyle w:val="Ruller50"/>
          <w:rFonts w:ascii="Times New Roman" w:hAnsi="Times New Roman" w:cs="Miriam" w:hint="cs"/>
          <w:spacing w:val="0"/>
          <w:sz w:val="20"/>
          <w:szCs w:val="19"/>
          <w:rtl/>
        </w:rPr>
        <w:t xml:space="preserve"> [12]</w:t>
      </w:r>
      <w:r w:rsidR="00D802CA">
        <w:rPr>
          <w:rStyle w:val="Ruller50"/>
          <w:rFonts w:ascii="Times New Roman" w:hAnsi="Times New Roman" w:hint="cs"/>
          <w:spacing w:val="0"/>
          <w:sz w:val="20"/>
          <w:szCs w:val="24"/>
          <w:rtl/>
        </w:rPr>
        <w:t xml:space="preserve">, </w:t>
      </w:r>
      <w:r w:rsidR="00D802CA" w:rsidRPr="00D802CA">
        <w:rPr>
          <w:rStyle w:val="Ruller50"/>
          <w:rFonts w:ascii="Times New Roman" w:hAnsi="Times New Roman" w:cs="Miriam" w:hint="cs"/>
          <w:spacing w:val="0"/>
          <w:sz w:val="20"/>
          <w:szCs w:val="19"/>
          <w:rtl/>
        </w:rPr>
        <w:t>בעמ' 388</w:t>
      </w:r>
      <w:r w:rsidR="00D802CA">
        <w:rPr>
          <w:rStyle w:val="Ruller50"/>
          <w:rFonts w:ascii="Times New Roman" w:hAnsi="Times New Roman" w:hint="cs"/>
          <w:spacing w:val="0"/>
          <w:sz w:val="20"/>
          <w:szCs w:val="24"/>
          <w:rtl/>
        </w:rPr>
        <w:t>)</w:t>
      </w:r>
      <w:r w:rsidR="00CF6A04">
        <w:rPr>
          <w:rStyle w:val="Ruller50"/>
          <w:rFonts w:ascii="Times New Roman" w:hAnsi="Times New Roman" w:hint="cs"/>
          <w:spacing w:val="0"/>
          <w:sz w:val="20"/>
          <w:szCs w:val="24"/>
          <w:rtl/>
        </w:rPr>
        <w:t>.</w:t>
      </w:r>
    </w:p>
    <w:p w:rsidR="006A180F" w:rsidRPr="002863CF" w:rsidRDefault="006A180F" w:rsidP="009F3939">
      <w:pPr>
        <w:pStyle w:val="a"/>
        <w:spacing w:line="280" w:lineRule="exact"/>
        <w:rPr>
          <w:rFonts w:hint="cs"/>
          <w:rtl/>
        </w:rPr>
      </w:pPr>
      <w:r w:rsidRPr="002863CF">
        <w:rPr>
          <w:rFonts w:hint="cs"/>
          <w:rtl/>
        </w:rPr>
        <w:t xml:space="preserve">הנה כי כן, אף </w:t>
      </w:r>
      <w:r>
        <w:rPr>
          <w:rFonts w:hint="cs"/>
          <w:rtl/>
        </w:rPr>
        <w:t xml:space="preserve">על פי </w:t>
      </w:r>
      <w:r w:rsidRPr="002863CF">
        <w:rPr>
          <w:rFonts w:hint="cs"/>
          <w:rtl/>
        </w:rPr>
        <w:t xml:space="preserve">שהסייג בדבר "זוטי דברים" אינו מונה רשימה של מקרים הבאים בגדרו, הרי שהמגמה העולה מן הפסיקה היא </w:t>
      </w:r>
      <w:r>
        <w:rPr>
          <w:rFonts w:hint="cs"/>
          <w:rtl/>
        </w:rPr>
        <w:t xml:space="preserve">שיש </w:t>
      </w:r>
      <w:r w:rsidRPr="002863CF">
        <w:rPr>
          <w:rFonts w:hint="cs"/>
          <w:rtl/>
        </w:rPr>
        <w:t>להחילו בזהירות תוך בחינת נסיבותיו של כל מקרה ומקרה. בבואו לבחון מעשה שנתמלאו בו כל יסודות העבירה ישאל בית המשפט</w:t>
      </w:r>
      <w:r>
        <w:rPr>
          <w:rFonts w:hint="cs"/>
          <w:rtl/>
        </w:rPr>
        <w:t xml:space="preserve"> את עצמו</w:t>
      </w:r>
      <w:r w:rsidRPr="002863CF">
        <w:rPr>
          <w:rFonts w:hint="cs"/>
          <w:rtl/>
        </w:rPr>
        <w:t xml:space="preserve"> אם מעשה העבירה הצמיח מידה </w:t>
      </w:r>
      <w:r>
        <w:rPr>
          <w:rFonts w:hint="cs"/>
          <w:rtl/>
        </w:rPr>
        <w:t>מזערית</w:t>
      </w:r>
      <w:r w:rsidRPr="002863CF">
        <w:rPr>
          <w:rFonts w:hint="cs"/>
          <w:rtl/>
        </w:rPr>
        <w:t xml:space="preserve"> של סכנה לציבור</w:t>
      </w:r>
      <w:r>
        <w:rPr>
          <w:rFonts w:hint="cs"/>
          <w:rtl/>
        </w:rPr>
        <w:t>.</w:t>
      </w:r>
      <w:r w:rsidRPr="002863CF">
        <w:rPr>
          <w:rFonts w:hint="cs"/>
          <w:rtl/>
        </w:rPr>
        <w:t xml:space="preserve"> תשובה שלילית ת</w:t>
      </w:r>
      <w:r>
        <w:rPr>
          <w:rFonts w:hint="cs"/>
          <w:rtl/>
        </w:rPr>
        <w:t xml:space="preserve">חייב את המסקנה שהשפעתו של המעשה על החברה היא כה מזערית, עד שאין זה ראוי להכתים את מבצעו בהרשעה בפלילים. </w:t>
      </w:r>
      <w:r w:rsidRPr="002863CF">
        <w:rPr>
          <w:rFonts w:hint="cs"/>
          <w:rtl/>
        </w:rPr>
        <w:t xml:space="preserve">לשיטתי, מגמה זו ראויה היא. אל לנו לשכוח כי הכלל בדבר זוטי דברים </w:t>
      </w:r>
      <w:r>
        <w:rPr>
          <w:rFonts w:hint="cs"/>
          <w:rtl/>
        </w:rPr>
        <w:t>הוא</w:t>
      </w:r>
      <w:r w:rsidRPr="002863CF">
        <w:rPr>
          <w:rFonts w:hint="cs"/>
          <w:rtl/>
        </w:rPr>
        <w:t xml:space="preserve"> אך סייג לאחריות הפלילית, ומשכך, אין הוא בבחינת הכלל, אלא החריג. ובלשונו של </w:t>
      </w:r>
      <w:hyperlink r:id="rId182" w:history="1">
        <w:r w:rsidR="00323C68" w:rsidRPr="00323C68">
          <w:rPr>
            <w:color w:val="0000FF"/>
            <w:u w:val="single"/>
            <w:rtl/>
          </w:rPr>
          <w:t>סעיף 34ה</w:t>
        </w:r>
      </w:hyperlink>
      <w:r w:rsidRPr="002863CF">
        <w:rPr>
          <w:rFonts w:hint="cs"/>
          <w:rtl/>
        </w:rPr>
        <w:t xml:space="preserve"> ל</w:t>
      </w:r>
      <w:hyperlink r:id="rId183" w:history="1">
        <w:r w:rsidR="00A7624C" w:rsidRPr="00A7624C">
          <w:rPr>
            <w:rStyle w:val="Hyperlink"/>
            <w:rtl/>
          </w:rPr>
          <w:t>חוק העונשין</w:t>
        </w:r>
      </w:hyperlink>
      <w:r>
        <w:rPr>
          <w:rFonts w:hint="cs"/>
          <w:rtl/>
        </w:rPr>
        <w:t>:</w:t>
      </w:r>
      <w:r w:rsidRPr="002863CF">
        <w:rPr>
          <w:rFonts w:hint="cs"/>
          <w:rtl/>
        </w:rPr>
        <w:t xml:space="preserve"> "מלבד אם נאמר בחיקוק אחרת, חזקה על מעשה שנעשה בתנאים שאין בהם סייג לאחריות פלילית". יתרה מזאת, מידת הזהירות בהחלתו של הסייג נדרשת גם מ</w:t>
      </w:r>
      <w:r>
        <w:rPr>
          <w:rFonts w:hint="cs"/>
          <w:rtl/>
        </w:rPr>
        <w:t xml:space="preserve">ן </w:t>
      </w:r>
      <w:r w:rsidRPr="002863CF">
        <w:rPr>
          <w:rFonts w:hint="cs"/>
          <w:rtl/>
        </w:rPr>
        <w:t xml:space="preserve">הטעם שמא ירוקנו מתוכן עבירות הנתפסות כ"קלות" מאחרות. עם זאת נקיטת זהירות בהחלתו של הסייג אינה מונעת, לגישתי, פרשנות שתבחן בין מכלול השיקולים גם את נסיבותיו האישיות של המבצע. שכן, יש </w:t>
      </w:r>
      <w:r>
        <w:rPr>
          <w:rFonts w:hint="cs"/>
          <w:rtl/>
        </w:rPr>
        <w:t>ש</w:t>
      </w:r>
      <w:r w:rsidRPr="002863CF">
        <w:rPr>
          <w:rFonts w:hint="cs"/>
          <w:rtl/>
        </w:rPr>
        <w:t xml:space="preserve">השפעתן של נסיבות אלו תשנה את התמונה מן הקצה אל הקצה, והרשעתו לאורן לא תשרת כל מטרה ראויה. </w:t>
      </w:r>
    </w:p>
    <w:p w:rsidR="006A180F" w:rsidRPr="00CF6A04" w:rsidRDefault="006A180F" w:rsidP="009F3939">
      <w:pPr>
        <w:pStyle w:val="a"/>
        <w:spacing w:line="280" w:lineRule="exact"/>
        <w:rPr>
          <w:rFonts w:cs="Miriam" w:hint="cs"/>
          <w:szCs w:val="19"/>
          <w:rtl/>
        </w:rPr>
      </w:pPr>
      <w:r w:rsidRPr="00CF6A04">
        <w:rPr>
          <w:rFonts w:cs="Miriam" w:hint="cs"/>
          <w:szCs w:val="19"/>
          <w:rtl/>
        </w:rPr>
        <w:t xml:space="preserve">תחולתו של הסייג בדבר זוטי דברים על </w:t>
      </w:r>
      <w:hyperlink r:id="rId184" w:history="1">
        <w:r w:rsidR="00A7624C" w:rsidRPr="00A7624C">
          <w:rPr>
            <w:rStyle w:val="Hyperlink"/>
            <w:rFonts w:cs="Miriam"/>
            <w:szCs w:val="19"/>
            <w:rtl/>
          </w:rPr>
          <w:t>חוק ההגבלים העסקיים</w:t>
        </w:r>
      </w:hyperlink>
    </w:p>
    <w:p w:rsidR="006A180F" w:rsidRPr="000B4953" w:rsidRDefault="006A180F" w:rsidP="009F3939">
      <w:pPr>
        <w:pStyle w:val="a"/>
        <w:spacing w:line="280" w:lineRule="exact"/>
        <w:rPr>
          <w:rFonts w:cs="Miriam" w:hint="cs"/>
          <w:rtl/>
        </w:rPr>
      </w:pPr>
      <w:r>
        <w:rPr>
          <w:rFonts w:hint="cs"/>
          <w:rtl/>
        </w:rPr>
        <w:t>27.</w:t>
      </w:r>
      <w:r>
        <w:rPr>
          <w:rFonts w:hint="cs"/>
          <w:rtl/>
        </w:rPr>
        <w:tab/>
      </w:r>
      <w:hyperlink r:id="rId185" w:history="1">
        <w:r w:rsidR="00323C68" w:rsidRPr="00323C68">
          <w:rPr>
            <w:color w:val="0000FF"/>
            <w:u w:val="single"/>
            <w:rtl/>
          </w:rPr>
          <w:t>סעיף 34כג</w:t>
        </w:r>
      </w:hyperlink>
      <w:r w:rsidRPr="00417F6B">
        <w:rPr>
          <w:rFonts w:hint="cs"/>
          <w:rtl/>
        </w:rPr>
        <w:t xml:space="preserve"> ל</w:t>
      </w:r>
      <w:hyperlink r:id="rId186" w:history="1">
        <w:r w:rsidR="00A7624C" w:rsidRPr="00A7624C">
          <w:rPr>
            <w:rStyle w:val="Hyperlink"/>
            <w:rtl/>
          </w:rPr>
          <w:t>חוק העונשין</w:t>
        </w:r>
      </w:hyperlink>
      <w:r>
        <w:rPr>
          <w:rFonts w:hint="cs"/>
          <w:rtl/>
        </w:rPr>
        <w:t xml:space="preserve"> </w:t>
      </w:r>
      <w:r w:rsidRPr="00417F6B">
        <w:rPr>
          <w:rFonts w:hint="cs"/>
          <w:rtl/>
        </w:rPr>
        <w:t xml:space="preserve">קובע כי "באין בחוק הוראה לסתור, יחולו הוראות החלק המקדמי והחלק הכללי גם על עבירות שלא לפי חוק זה". סעיף זה מורה אפוא כי הוראותיו הכלליות של </w:t>
      </w:r>
      <w:hyperlink r:id="rId187" w:history="1">
        <w:r w:rsidR="00A7624C" w:rsidRPr="00A7624C">
          <w:rPr>
            <w:rStyle w:val="Hyperlink"/>
            <w:rtl/>
          </w:rPr>
          <w:t>חוק העונשין</w:t>
        </w:r>
      </w:hyperlink>
      <w:r w:rsidRPr="00417F6B">
        <w:rPr>
          <w:rFonts w:hint="cs"/>
          <w:rtl/>
        </w:rPr>
        <w:t xml:space="preserve"> חולשות על דיני העונשין כולם</w:t>
      </w:r>
      <w:r>
        <w:rPr>
          <w:rFonts w:hint="cs"/>
          <w:rtl/>
        </w:rPr>
        <w:t>,</w:t>
      </w:r>
      <w:r w:rsidRPr="00417F6B">
        <w:rPr>
          <w:rFonts w:hint="cs"/>
          <w:rtl/>
        </w:rPr>
        <w:t xml:space="preserve"> בין </w:t>
      </w:r>
      <w:r>
        <w:rPr>
          <w:rFonts w:hint="cs"/>
          <w:rtl/>
        </w:rPr>
        <w:t>ש</w:t>
      </w:r>
      <w:r w:rsidRPr="00417F6B">
        <w:rPr>
          <w:rFonts w:hint="cs"/>
          <w:rtl/>
        </w:rPr>
        <w:t xml:space="preserve">אותם דינים הם בחוק העונשין גופו ובין </w:t>
      </w:r>
      <w:r>
        <w:rPr>
          <w:rFonts w:hint="cs"/>
          <w:rtl/>
        </w:rPr>
        <w:t>שהם</w:t>
      </w:r>
      <w:r w:rsidRPr="00417F6B">
        <w:rPr>
          <w:rFonts w:hint="cs"/>
          <w:rtl/>
        </w:rPr>
        <w:t xml:space="preserve"> מחוצה לו</w:t>
      </w:r>
      <w:r>
        <w:rPr>
          <w:rFonts w:hint="cs"/>
          <w:rtl/>
        </w:rPr>
        <w:t xml:space="preserve"> </w:t>
      </w:r>
      <w:r w:rsidRPr="00417F6B">
        <w:rPr>
          <w:rFonts w:hint="cs"/>
          <w:rtl/>
        </w:rPr>
        <w:t>(</w:t>
      </w:r>
      <w:r>
        <w:rPr>
          <w:rFonts w:hint="cs"/>
          <w:rtl/>
        </w:rPr>
        <w:t xml:space="preserve">בהקשר זה ראו גם </w:t>
      </w:r>
      <w:hyperlink r:id="rId188" w:history="1">
        <w:r w:rsidR="004C5B7C" w:rsidRPr="00AD4D63">
          <w:rPr>
            <w:rStyle w:val="Hyperlink"/>
            <w:rFonts w:cs="Miriam" w:hint="eastAsia"/>
            <w:szCs w:val="19"/>
            <w:rtl/>
          </w:rPr>
          <w:t>ע</w:t>
        </w:r>
        <w:r w:rsidR="004C5B7C" w:rsidRPr="00AD4D63">
          <w:rPr>
            <w:rStyle w:val="Hyperlink"/>
            <w:rFonts w:cs="Miriam"/>
            <w:szCs w:val="19"/>
            <w:rtl/>
          </w:rPr>
          <w:t>"פ 4675/97</w:t>
        </w:r>
      </w:hyperlink>
      <w:r w:rsidRPr="00CF6A04">
        <w:rPr>
          <w:rFonts w:cs="Miriam" w:hint="cs"/>
          <w:szCs w:val="19"/>
          <w:rtl/>
        </w:rPr>
        <w:t xml:space="preserve"> רוזוב נ' מדינת ישראל</w:t>
      </w:r>
      <w:r w:rsidR="00CF6A04">
        <w:rPr>
          <w:rFonts w:cs="Miriam" w:hint="cs"/>
          <w:szCs w:val="19"/>
          <w:rtl/>
        </w:rPr>
        <w:t xml:space="preserve"> [13]</w:t>
      </w:r>
      <w:r>
        <w:rPr>
          <w:rFonts w:hint="cs"/>
          <w:rtl/>
        </w:rPr>
        <w:t>,</w:t>
      </w:r>
      <w:r w:rsidR="00CF6A04">
        <w:rPr>
          <w:rFonts w:hint="cs"/>
          <w:rtl/>
        </w:rPr>
        <w:t xml:space="preserve"> </w:t>
      </w:r>
      <w:r w:rsidR="00CF6A04">
        <w:rPr>
          <w:rFonts w:cs="Miriam" w:hint="cs"/>
          <w:szCs w:val="19"/>
          <w:rtl/>
        </w:rPr>
        <w:t>בעמ'</w:t>
      </w:r>
      <w:r w:rsidRPr="00CF6A04">
        <w:rPr>
          <w:rFonts w:cs="Miriam" w:hint="cs"/>
          <w:szCs w:val="19"/>
          <w:rtl/>
        </w:rPr>
        <w:t xml:space="preserve"> 372</w:t>
      </w:r>
      <w:r w:rsidRPr="00417F6B">
        <w:rPr>
          <w:rFonts w:hint="cs"/>
          <w:rtl/>
        </w:rPr>
        <w:t>).</w:t>
      </w:r>
      <w:r w:rsidR="00BA5973">
        <w:rPr>
          <w:rFonts w:hint="cs"/>
          <w:rtl/>
        </w:rPr>
        <w:t xml:space="preserve"> </w:t>
      </w:r>
    </w:p>
    <w:p w:rsidR="006A180F" w:rsidRDefault="006A180F" w:rsidP="009F3939">
      <w:pPr>
        <w:pStyle w:val="a"/>
        <w:spacing w:line="280" w:lineRule="exact"/>
        <w:rPr>
          <w:rFonts w:hint="cs"/>
          <w:rtl/>
        </w:rPr>
      </w:pPr>
      <w:r w:rsidRPr="00417F6B">
        <w:rPr>
          <w:rFonts w:hint="cs"/>
          <w:rtl/>
        </w:rPr>
        <w:t xml:space="preserve">לפיכך השאלה העומדת </w:t>
      </w:r>
      <w:r>
        <w:rPr>
          <w:rFonts w:hint="cs"/>
          <w:rtl/>
        </w:rPr>
        <w:t>ל</w:t>
      </w:r>
      <w:r w:rsidRPr="00417F6B">
        <w:rPr>
          <w:rFonts w:hint="cs"/>
          <w:rtl/>
        </w:rPr>
        <w:t>פני</w:t>
      </w:r>
      <w:r>
        <w:rPr>
          <w:rFonts w:hint="cs"/>
          <w:rtl/>
        </w:rPr>
        <w:t>נו</w:t>
      </w:r>
      <w:r w:rsidRPr="00417F6B">
        <w:rPr>
          <w:rFonts w:hint="cs"/>
          <w:rtl/>
        </w:rPr>
        <w:t xml:space="preserve"> היא </w:t>
      </w:r>
      <w:r>
        <w:rPr>
          <w:rFonts w:hint="cs"/>
          <w:rtl/>
        </w:rPr>
        <w:t>אם ב</w:t>
      </w:r>
      <w:hyperlink r:id="rId189" w:history="1">
        <w:r w:rsidR="00A7624C" w:rsidRPr="00A7624C">
          <w:rPr>
            <w:rStyle w:val="Hyperlink"/>
            <w:rtl/>
          </w:rPr>
          <w:t>חוק ההגבלים העסקיים</w:t>
        </w:r>
      </w:hyperlink>
      <w:r>
        <w:rPr>
          <w:rFonts w:hint="cs"/>
          <w:rtl/>
        </w:rPr>
        <w:t xml:space="preserve"> קיימת אותה "הוראה לסתור". תשובה חיובית לשאלה זו תוביל למסקנה כי לסייג בדבר זוטי הדברים אין תחולה על הוראותיו של חוק ההגבלים.</w:t>
      </w:r>
    </w:p>
    <w:p w:rsidR="00D35634" w:rsidRDefault="006A180F" w:rsidP="00D802CA">
      <w:pPr>
        <w:pStyle w:val="a"/>
        <w:spacing w:line="280" w:lineRule="exact"/>
        <w:rPr>
          <w:rtl/>
        </w:rPr>
      </w:pPr>
      <w:r>
        <w:rPr>
          <w:rFonts w:hint="cs"/>
          <w:rtl/>
        </w:rPr>
        <w:t>28.</w:t>
      </w:r>
      <w:r>
        <w:rPr>
          <w:rFonts w:hint="cs"/>
          <w:rtl/>
        </w:rPr>
        <w:tab/>
        <w:t xml:space="preserve">בפרשת </w:t>
      </w:r>
      <w:r w:rsidRPr="008F0000">
        <w:rPr>
          <w:rFonts w:cs="Miriam" w:hint="cs"/>
          <w:szCs w:val="19"/>
          <w:rtl/>
        </w:rPr>
        <w:t>חניות</w:t>
      </w:r>
      <w:r w:rsidR="008F0000">
        <w:rPr>
          <w:rFonts w:hint="cs"/>
          <w:rtl/>
        </w:rPr>
        <w:t xml:space="preserve"> </w:t>
      </w:r>
      <w:r w:rsidR="008F0000" w:rsidRPr="008F0000">
        <w:rPr>
          <w:rFonts w:cs="Miriam" w:hint="cs"/>
          <w:szCs w:val="19"/>
          <w:rtl/>
        </w:rPr>
        <w:t>[4]</w:t>
      </w:r>
      <w:r w:rsidRPr="00417F6B">
        <w:rPr>
          <w:rFonts w:hint="cs"/>
          <w:rtl/>
        </w:rPr>
        <w:t xml:space="preserve"> הסתייג </w:t>
      </w:r>
      <w:r w:rsidRPr="008F0000">
        <w:rPr>
          <w:rFonts w:cs="Miriam" w:hint="cs"/>
          <w:szCs w:val="19"/>
          <w:rtl/>
        </w:rPr>
        <w:t>השופט ריבלין</w:t>
      </w:r>
      <w:r w:rsidRPr="008F0000">
        <w:rPr>
          <w:rFonts w:hint="cs"/>
          <w:rtl/>
        </w:rPr>
        <w:t xml:space="preserve"> </w:t>
      </w:r>
      <w:r w:rsidRPr="00417F6B">
        <w:rPr>
          <w:rFonts w:hint="cs"/>
          <w:rtl/>
        </w:rPr>
        <w:t>(בדעת מיעוט) מהחלתו של הע</w:t>
      </w:r>
      <w:r>
        <w:rPr>
          <w:rFonts w:hint="cs"/>
          <w:rtl/>
        </w:rPr>
        <w:t>י</w:t>
      </w:r>
      <w:r w:rsidRPr="00417F6B">
        <w:rPr>
          <w:rFonts w:hint="cs"/>
          <w:rtl/>
        </w:rPr>
        <w:t>קרון בדבר זוטי דברים על תחו</w:t>
      </w:r>
      <w:r>
        <w:rPr>
          <w:rFonts w:hint="cs"/>
          <w:rtl/>
        </w:rPr>
        <w:t>מ</w:t>
      </w:r>
      <w:r w:rsidRPr="00417F6B">
        <w:rPr>
          <w:rFonts w:hint="cs"/>
          <w:rtl/>
        </w:rPr>
        <w:t>ם</w:t>
      </w:r>
      <w:r>
        <w:rPr>
          <w:rFonts w:hint="cs"/>
          <w:rtl/>
        </w:rPr>
        <w:t xml:space="preserve"> של</w:t>
      </w:r>
      <w:r w:rsidRPr="00417F6B">
        <w:rPr>
          <w:rFonts w:hint="cs"/>
          <w:rtl/>
        </w:rPr>
        <w:t xml:space="preserve"> דיני ההגבלים העסקיים</w:t>
      </w:r>
      <w:r>
        <w:rPr>
          <w:rFonts w:hint="cs"/>
          <w:rtl/>
        </w:rPr>
        <w:t>,</w:t>
      </w:r>
      <w:r w:rsidRPr="00417F6B">
        <w:rPr>
          <w:rFonts w:hint="cs"/>
          <w:rtl/>
        </w:rPr>
        <w:t xml:space="preserve"> </w:t>
      </w:r>
      <w:r>
        <w:rPr>
          <w:rFonts w:hint="cs"/>
          <w:rtl/>
        </w:rPr>
        <w:t>בשל</w:t>
      </w:r>
      <w:r w:rsidRPr="00417F6B">
        <w:rPr>
          <w:rFonts w:hint="cs"/>
          <w:rtl/>
        </w:rPr>
        <w:t xml:space="preserve"> מנגנון הפיקוח שמפעיל </w:t>
      </w:r>
    </w:p>
    <w:p w:rsidR="006A180F" w:rsidRPr="00417F6B" w:rsidRDefault="00D35634" w:rsidP="00D35634">
      <w:pPr>
        <w:pStyle w:val="a"/>
        <w:spacing w:line="280" w:lineRule="exact"/>
        <w:ind w:firstLine="0"/>
        <w:rPr>
          <w:rFonts w:hint="cs"/>
          <w:rtl/>
        </w:rPr>
      </w:pPr>
      <w:r>
        <w:rPr>
          <w:rtl/>
        </w:rPr>
        <w:br w:type="page"/>
      </w:r>
      <w:r w:rsidR="006A180F" w:rsidRPr="00417F6B">
        <w:rPr>
          <w:rFonts w:hint="cs"/>
          <w:rtl/>
        </w:rPr>
        <w:t xml:space="preserve">חוק ההגבלים בדמותם של </w:t>
      </w:r>
      <w:r w:rsidR="004C5B7C" w:rsidRPr="00A7624C">
        <w:rPr>
          <w:rFonts w:hint="eastAsia"/>
          <w:rtl/>
        </w:rPr>
        <w:t>כללי</w:t>
      </w:r>
      <w:r w:rsidR="004C5B7C" w:rsidRPr="00A7624C">
        <w:rPr>
          <w:rtl/>
        </w:rPr>
        <w:t xml:space="preserve"> ההגבלים העסקיים</w:t>
      </w:r>
      <w:r w:rsidR="00D802CA">
        <w:rPr>
          <w:rFonts w:hint="cs"/>
          <w:rtl/>
        </w:rPr>
        <w:t xml:space="preserve"> (</w:t>
      </w:r>
      <w:r w:rsidR="006A180F" w:rsidRPr="00417F6B">
        <w:rPr>
          <w:rFonts w:hint="cs"/>
          <w:rtl/>
        </w:rPr>
        <w:t xml:space="preserve">פטור </w:t>
      </w:r>
      <w:r w:rsidR="00D802CA">
        <w:rPr>
          <w:rFonts w:hint="cs"/>
          <w:rtl/>
        </w:rPr>
        <w:t>סוג ל</w:t>
      </w:r>
      <w:r w:rsidR="006A180F" w:rsidRPr="00417F6B">
        <w:rPr>
          <w:rFonts w:hint="cs"/>
          <w:rtl/>
        </w:rPr>
        <w:t>הסכמים שפגיעתם בתחרות קלת ערך</w:t>
      </w:r>
      <w:r w:rsidR="00D802CA">
        <w:rPr>
          <w:rFonts w:hint="cs"/>
          <w:rtl/>
        </w:rPr>
        <w:t>)</w:t>
      </w:r>
      <w:r w:rsidR="006A180F" w:rsidRPr="00417F6B">
        <w:rPr>
          <w:rFonts w:hint="cs"/>
          <w:rtl/>
        </w:rPr>
        <w:t>. אולם דעתי היא כדעת המגמה העולה מן הפסיקה</w:t>
      </w:r>
      <w:r w:rsidR="006A180F">
        <w:rPr>
          <w:rFonts w:hint="cs"/>
          <w:rtl/>
        </w:rPr>
        <w:t xml:space="preserve"> </w:t>
      </w:r>
      <w:r w:rsidR="006A180F" w:rsidRPr="00417F6B">
        <w:rPr>
          <w:rFonts w:hint="cs"/>
          <w:rtl/>
        </w:rPr>
        <w:t>(</w:t>
      </w:r>
      <w:r w:rsidR="006A180F">
        <w:rPr>
          <w:rFonts w:hint="cs"/>
          <w:rtl/>
        </w:rPr>
        <w:t xml:space="preserve">ראו: </w:t>
      </w:r>
      <w:hyperlink r:id="rId190" w:history="1">
        <w:r w:rsidR="004C5B7C" w:rsidRPr="00AD4D63">
          <w:rPr>
            <w:rStyle w:val="Hyperlink"/>
            <w:rFonts w:cs="Miriam" w:hint="eastAsia"/>
            <w:szCs w:val="19"/>
            <w:rtl/>
          </w:rPr>
          <w:t>ע</w:t>
        </w:r>
        <w:r w:rsidR="004C5B7C" w:rsidRPr="00AD4D63">
          <w:rPr>
            <w:rStyle w:val="Hyperlink"/>
            <w:rFonts w:cs="Miriam"/>
            <w:szCs w:val="19"/>
            <w:rtl/>
          </w:rPr>
          <w:t>"פ 4855/02</w:t>
        </w:r>
      </w:hyperlink>
      <w:r w:rsidR="006A180F" w:rsidRPr="008F0000">
        <w:rPr>
          <w:rFonts w:cs="Miriam" w:hint="cs"/>
          <w:szCs w:val="19"/>
          <w:rtl/>
        </w:rPr>
        <w:t xml:space="preserve"> מדינת ישראל נ' בורוביץ</w:t>
      </w:r>
      <w:r w:rsidR="008F0000">
        <w:rPr>
          <w:rFonts w:cs="Miriam" w:hint="cs"/>
          <w:szCs w:val="19"/>
          <w:rtl/>
        </w:rPr>
        <w:t xml:space="preserve"> [14]</w:t>
      </w:r>
      <w:r w:rsidR="006A180F">
        <w:rPr>
          <w:rFonts w:hint="cs"/>
          <w:rtl/>
        </w:rPr>
        <w:t xml:space="preserve">; </w:t>
      </w:r>
      <w:hyperlink r:id="rId191" w:history="1">
        <w:r w:rsidR="004C5B7C" w:rsidRPr="00AD4D63">
          <w:rPr>
            <w:rStyle w:val="Hyperlink"/>
            <w:rFonts w:cs="Miriam"/>
            <w:szCs w:val="19"/>
            <w:rtl/>
          </w:rPr>
          <w:t>ע"פ 1042/03</w:t>
        </w:r>
      </w:hyperlink>
      <w:r w:rsidR="00D673B8" w:rsidRPr="00D673B8">
        <w:rPr>
          <w:rFonts w:cs="Miriam"/>
          <w:szCs w:val="19"/>
          <w:rtl/>
        </w:rPr>
        <w:t xml:space="preserve"> מצרפלס שותפות מוגבלת בע"מ (1974) נ' מדינת ישראל</w:t>
      </w:r>
      <w:r w:rsidR="00D673B8" w:rsidRPr="00D673B8">
        <w:rPr>
          <w:rFonts w:cs="Miriam" w:hint="cs"/>
          <w:szCs w:val="19"/>
          <w:rtl/>
        </w:rPr>
        <w:t xml:space="preserve"> [15]</w:t>
      </w:r>
      <w:r w:rsidR="006A180F" w:rsidRPr="00417F6B">
        <w:rPr>
          <w:rFonts w:hint="cs"/>
          <w:rtl/>
        </w:rPr>
        <w:t>,</w:t>
      </w:r>
      <w:r w:rsidR="00D673B8">
        <w:rPr>
          <w:rFonts w:hint="cs"/>
          <w:rtl/>
        </w:rPr>
        <w:t xml:space="preserve"> </w:t>
      </w:r>
      <w:r w:rsidR="00D673B8">
        <w:rPr>
          <w:rFonts w:cs="Miriam" w:hint="cs"/>
          <w:szCs w:val="19"/>
          <w:rtl/>
        </w:rPr>
        <w:t>בעמ'</w:t>
      </w:r>
      <w:r w:rsidR="006A180F" w:rsidRPr="00D673B8">
        <w:rPr>
          <w:rFonts w:cs="Miriam" w:hint="cs"/>
          <w:szCs w:val="19"/>
          <w:rtl/>
        </w:rPr>
        <w:t xml:space="preserve"> 729</w:t>
      </w:r>
      <w:r w:rsidR="006A180F" w:rsidRPr="00417F6B">
        <w:rPr>
          <w:rFonts w:hint="cs"/>
          <w:rtl/>
        </w:rPr>
        <w:t xml:space="preserve">; </w:t>
      </w:r>
      <w:r w:rsidR="006A180F">
        <w:rPr>
          <w:rFonts w:hint="cs"/>
          <w:rtl/>
        </w:rPr>
        <w:t xml:space="preserve">פרשת </w:t>
      </w:r>
      <w:r w:rsidR="006A180F" w:rsidRPr="008F0000">
        <w:rPr>
          <w:rFonts w:cs="Miriam" w:hint="cs"/>
          <w:szCs w:val="19"/>
          <w:rtl/>
        </w:rPr>
        <w:t>חניות</w:t>
      </w:r>
      <w:r w:rsidR="008F0000">
        <w:rPr>
          <w:rFonts w:cs="Miriam" w:hint="cs"/>
          <w:szCs w:val="19"/>
          <w:rtl/>
        </w:rPr>
        <w:t xml:space="preserve"> [4]</w:t>
      </w:r>
      <w:r w:rsidR="006A180F" w:rsidRPr="008F0000">
        <w:rPr>
          <w:rFonts w:hint="cs"/>
          <w:rtl/>
        </w:rPr>
        <w:t>,</w:t>
      </w:r>
      <w:r w:rsidR="006A180F">
        <w:rPr>
          <w:rFonts w:hint="cs"/>
          <w:rtl/>
        </w:rPr>
        <w:t xml:space="preserve"> </w:t>
      </w:r>
      <w:r w:rsidR="006A180F" w:rsidRPr="008F0000">
        <w:rPr>
          <w:rFonts w:cs="Miriam" w:hint="cs"/>
          <w:szCs w:val="19"/>
          <w:rtl/>
        </w:rPr>
        <w:t>בעמ' 602</w:t>
      </w:r>
      <w:r w:rsidR="006A180F" w:rsidRPr="00417F6B">
        <w:rPr>
          <w:rFonts w:hint="cs"/>
          <w:rtl/>
        </w:rPr>
        <w:t xml:space="preserve">; </w:t>
      </w:r>
      <w:hyperlink r:id="rId192" w:history="1">
        <w:r w:rsidR="004C5B7C" w:rsidRPr="00AD4D63">
          <w:rPr>
            <w:rStyle w:val="Hyperlink"/>
            <w:rFonts w:cs="Miriam" w:hint="eastAsia"/>
            <w:szCs w:val="19"/>
            <w:rtl/>
          </w:rPr>
          <w:t>דנ</w:t>
        </w:r>
        <w:r w:rsidR="004C5B7C" w:rsidRPr="00AD4D63">
          <w:rPr>
            <w:rStyle w:val="Hyperlink"/>
            <w:rFonts w:cs="Miriam"/>
            <w:szCs w:val="19"/>
            <w:rtl/>
          </w:rPr>
          <w:t>"א 3113/03</w:t>
        </w:r>
      </w:hyperlink>
      <w:r w:rsidR="00D673B8" w:rsidRPr="00D673B8">
        <w:rPr>
          <w:rFonts w:hint="cs"/>
          <w:rtl/>
        </w:rPr>
        <w:t xml:space="preserve"> </w:t>
      </w:r>
      <w:r w:rsidR="00D673B8" w:rsidRPr="00D673B8">
        <w:rPr>
          <w:rFonts w:cs="Miriam"/>
          <w:szCs w:val="19"/>
          <w:rtl/>
        </w:rPr>
        <w:t>א.מ. חנויות (ירושלים) (1993) בע"מ נ' עירית ירושלים</w:t>
      </w:r>
      <w:r w:rsidR="00D673B8">
        <w:rPr>
          <w:rFonts w:hint="cs"/>
          <w:rtl/>
        </w:rPr>
        <w:t xml:space="preserve"> </w:t>
      </w:r>
      <w:r w:rsidR="00D673B8" w:rsidRPr="00D673B8">
        <w:rPr>
          <w:rFonts w:cs="Miriam" w:hint="cs"/>
          <w:szCs w:val="19"/>
          <w:rtl/>
        </w:rPr>
        <w:t>[16]</w:t>
      </w:r>
      <w:r w:rsidR="006A180F" w:rsidRPr="00417F6B">
        <w:rPr>
          <w:rFonts w:hint="cs"/>
          <w:rtl/>
        </w:rPr>
        <w:t>;</w:t>
      </w:r>
      <w:r w:rsidR="00D802CA">
        <w:rPr>
          <w:rFonts w:hint="cs"/>
          <w:rtl/>
        </w:rPr>
        <w:t xml:space="preserve"> </w:t>
      </w:r>
      <w:hyperlink r:id="rId193" w:history="1">
        <w:r w:rsidR="004C5B7C" w:rsidRPr="00AD4D63">
          <w:rPr>
            <w:rStyle w:val="Hyperlink"/>
            <w:rFonts w:cs="Miriam" w:hint="eastAsia"/>
            <w:szCs w:val="19"/>
            <w:rtl/>
          </w:rPr>
          <w:t>ע</w:t>
        </w:r>
        <w:r w:rsidR="004C5B7C" w:rsidRPr="00AD4D63">
          <w:rPr>
            <w:rStyle w:val="Hyperlink"/>
            <w:rFonts w:cs="Miriam"/>
            <w:szCs w:val="19"/>
            <w:rtl/>
          </w:rPr>
          <w:t>"א 6222/97</w:t>
        </w:r>
      </w:hyperlink>
      <w:r w:rsidR="006A180F" w:rsidRPr="0039756C">
        <w:rPr>
          <w:rFonts w:cs="Miriam" w:hint="cs"/>
          <w:szCs w:val="19"/>
          <w:rtl/>
        </w:rPr>
        <w:t xml:space="preserve"> </w:t>
      </w:r>
      <w:r w:rsidR="0039756C" w:rsidRPr="0039756C">
        <w:rPr>
          <w:rFonts w:cs="Miriam"/>
          <w:szCs w:val="19"/>
          <w:rtl/>
        </w:rPr>
        <w:t>טבעול (1993) בע"מ נ' משרד הביטחון, מינהל ההרכשה והייצור</w:t>
      </w:r>
      <w:r w:rsidR="0039756C">
        <w:rPr>
          <w:rFonts w:cs="Miriam" w:hint="cs"/>
          <w:szCs w:val="19"/>
          <w:rtl/>
        </w:rPr>
        <w:t xml:space="preserve"> [17]</w:t>
      </w:r>
      <w:r w:rsidR="006A180F">
        <w:rPr>
          <w:rFonts w:hint="cs"/>
          <w:rtl/>
        </w:rPr>
        <w:t>,</w:t>
      </w:r>
      <w:r w:rsidR="0039756C">
        <w:rPr>
          <w:rFonts w:hint="cs"/>
          <w:rtl/>
        </w:rPr>
        <w:t xml:space="preserve"> </w:t>
      </w:r>
      <w:r w:rsidR="0039756C">
        <w:rPr>
          <w:rFonts w:cs="Miriam" w:hint="cs"/>
          <w:szCs w:val="19"/>
          <w:rtl/>
        </w:rPr>
        <w:t>בעמ'</w:t>
      </w:r>
      <w:r w:rsidR="006A180F" w:rsidRPr="0039756C">
        <w:rPr>
          <w:rFonts w:cs="Miriam" w:hint="cs"/>
          <w:szCs w:val="19"/>
          <w:rtl/>
        </w:rPr>
        <w:t xml:space="preserve"> 173</w:t>
      </w:r>
      <w:r w:rsidR="006A180F">
        <w:rPr>
          <w:rFonts w:hint="cs"/>
          <w:rtl/>
        </w:rPr>
        <w:t>),</w:t>
      </w:r>
      <w:r w:rsidR="006A180F" w:rsidRPr="00417F6B">
        <w:rPr>
          <w:rFonts w:hint="cs"/>
          <w:rtl/>
        </w:rPr>
        <w:t xml:space="preserve"> ולפיה אין מניעה להחלתו של הסייג בדבר זוטי דברים על </w:t>
      </w:r>
      <w:hyperlink r:id="rId194" w:history="1">
        <w:r w:rsidR="00A7624C" w:rsidRPr="00A7624C">
          <w:rPr>
            <w:rStyle w:val="Hyperlink"/>
            <w:rtl/>
          </w:rPr>
          <w:t>חוק ההגבלים העסקיים</w:t>
        </w:r>
      </w:hyperlink>
      <w:r w:rsidR="006A180F" w:rsidRPr="00417F6B">
        <w:rPr>
          <w:rFonts w:hint="cs"/>
          <w:rtl/>
        </w:rPr>
        <w:t xml:space="preserve">, בכפוף להסתייגויות </w:t>
      </w:r>
      <w:r w:rsidR="006A180F">
        <w:rPr>
          <w:rFonts w:hint="cs"/>
          <w:rtl/>
        </w:rPr>
        <w:t>ש</w:t>
      </w:r>
      <w:r w:rsidR="006A180F" w:rsidRPr="00417F6B">
        <w:rPr>
          <w:rFonts w:hint="cs"/>
          <w:rtl/>
        </w:rPr>
        <w:t xml:space="preserve">אותן אפרט. </w:t>
      </w:r>
    </w:p>
    <w:p w:rsidR="006A180F" w:rsidRPr="00417F6B" w:rsidRDefault="006A180F" w:rsidP="009F3939">
      <w:pPr>
        <w:pStyle w:val="a"/>
        <w:spacing w:line="280" w:lineRule="exact"/>
        <w:rPr>
          <w:rFonts w:hint="cs"/>
          <w:rtl/>
        </w:rPr>
      </w:pPr>
      <w:r>
        <w:rPr>
          <w:rFonts w:hint="cs"/>
          <w:rtl/>
        </w:rPr>
        <w:t>בחוק ההגבלים מצויות כמה הוראות שתפקידן</w:t>
      </w:r>
      <w:r w:rsidRPr="00417F6B">
        <w:rPr>
          <w:rFonts w:hint="cs"/>
          <w:rtl/>
        </w:rPr>
        <w:t xml:space="preserve"> ל</w:t>
      </w:r>
      <w:r>
        <w:rPr>
          <w:rFonts w:hint="cs"/>
          <w:rtl/>
        </w:rPr>
        <w:t>שמש מסננות, ומטרתן להוציא מגדרו</w:t>
      </w:r>
      <w:r w:rsidRPr="00417F6B">
        <w:rPr>
          <w:rFonts w:hint="cs"/>
          <w:rtl/>
        </w:rPr>
        <w:t xml:space="preserve"> מעשים שנלכ</w:t>
      </w:r>
      <w:r>
        <w:rPr>
          <w:rFonts w:hint="cs"/>
          <w:rtl/>
        </w:rPr>
        <w:t>דו ברשתו הרחבה בלי שנתכוון להם או שההרשעה בגינם לא תשרת כל אינטרס ציבורי, שכן הפגיעה בערך התחרות בשל מעשים אלה היא מזערית</w:t>
      </w:r>
      <w:r w:rsidRPr="00417F6B">
        <w:rPr>
          <w:rFonts w:hint="cs"/>
          <w:rtl/>
        </w:rPr>
        <w:t xml:space="preserve"> (</w:t>
      </w:r>
      <w:r>
        <w:rPr>
          <w:rFonts w:hint="cs"/>
          <w:rtl/>
        </w:rPr>
        <w:t xml:space="preserve">ראו פרשת </w:t>
      </w:r>
      <w:r w:rsidRPr="0039756C">
        <w:rPr>
          <w:rFonts w:cs="Miriam" w:hint="cs"/>
          <w:szCs w:val="19"/>
          <w:rtl/>
        </w:rPr>
        <w:t>טבעול</w:t>
      </w:r>
      <w:r w:rsidR="0039756C">
        <w:rPr>
          <w:rFonts w:cs="Miriam" w:hint="cs"/>
          <w:szCs w:val="19"/>
          <w:rtl/>
        </w:rPr>
        <w:t xml:space="preserve"> [3]</w:t>
      </w:r>
      <w:r w:rsidRPr="0039756C">
        <w:rPr>
          <w:rFonts w:hint="cs"/>
          <w:rtl/>
        </w:rPr>
        <w:t>,</w:t>
      </w:r>
      <w:r>
        <w:rPr>
          <w:rFonts w:hint="cs"/>
          <w:rtl/>
        </w:rPr>
        <w:t xml:space="preserve"> </w:t>
      </w:r>
      <w:r w:rsidRPr="0039756C">
        <w:rPr>
          <w:rFonts w:cs="Miriam" w:hint="cs"/>
          <w:szCs w:val="19"/>
          <w:rtl/>
        </w:rPr>
        <w:t>בעמ' 84-82</w:t>
      </w:r>
      <w:r>
        <w:rPr>
          <w:rFonts w:hint="cs"/>
          <w:rtl/>
        </w:rPr>
        <w:t xml:space="preserve">). כך למשל </w:t>
      </w:r>
      <w:hyperlink r:id="rId195" w:history="1">
        <w:r w:rsidR="00323C68" w:rsidRPr="00323C68">
          <w:rPr>
            <w:color w:val="0000FF"/>
            <w:u w:val="single"/>
            <w:rtl/>
          </w:rPr>
          <w:t>סעיף 9</w:t>
        </w:r>
      </w:hyperlink>
      <w:r>
        <w:rPr>
          <w:rFonts w:hint="cs"/>
          <w:rtl/>
        </w:rPr>
        <w:t xml:space="preserve"> </w:t>
      </w:r>
      <w:r w:rsidRPr="00417F6B">
        <w:rPr>
          <w:rFonts w:hint="cs"/>
          <w:rtl/>
        </w:rPr>
        <w:t xml:space="preserve">מסמיך את בית הדין להגבלים עסקיים לאשר הסדר כובל: </w:t>
      </w:r>
    </w:p>
    <w:p w:rsidR="006A180F" w:rsidRPr="00417F6B" w:rsidRDefault="006A180F" w:rsidP="005D40E8">
      <w:pPr>
        <w:pStyle w:val="a4"/>
        <w:rPr>
          <w:rFonts w:hint="cs"/>
          <w:rtl/>
        </w:rPr>
      </w:pPr>
      <w:r w:rsidRPr="00417F6B">
        <w:rPr>
          <w:rFonts w:hint="cs"/>
          <w:rtl/>
        </w:rPr>
        <w:t>"בית הדין יחליט לאשר הסדר כובל, כולו או חלקו, אם הוא סבור כי הדבר הוא לטובת הציבור, ורשאי הוא להתנות את אישורו בתנאים".</w:t>
      </w:r>
    </w:p>
    <w:p w:rsidR="005D40E8" w:rsidRDefault="006A180F" w:rsidP="00D802CA">
      <w:pPr>
        <w:pStyle w:val="a"/>
        <w:rPr>
          <w:rFonts w:hint="cs"/>
          <w:rtl/>
        </w:rPr>
      </w:pPr>
      <w:r w:rsidRPr="00417F6B">
        <w:rPr>
          <w:rFonts w:hint="cs"/>
          <w:rtl/>
        </w:rPr>
        <w:t xml:space="preserve">כן נמצא את </w:t>
      </w:r>
      <w:hyperlink r:id="rId196" w:history="1">
        <w:r w:rsidR="00323C68" w:rsidRPr="00323C68">
          <w:rPr>
            <w:color w:val="0000FF"/>
            <w:u w:val="single"/>
            <w:rtl/>
          </w:rPr>
          <w:t>סעיף 14</w:t>
        </w:r>
      </w:hyperlink>
      <w:r w:rsidRPr="00417F6B">
        <w:rPr>
          <w:rFonts w:hint="cs"/>
          <w:rtl/>
        </w:rPr>
        <w:t xml:space="preserve"> המסמיך את הממונה על ההגבלים העסקיים</w:t>
      </w:r>
      <w:r>
        <w:rPr>
          <w:rFonts w:hint="cs"/>
          <w:rtl/>
        </w:rPr>
        <w:t>,</w:t>
      </w:r>
      <w:r w:rsidRPr="00417F6B">
        <w:rPr>
          <w:rFonts w:hint="cs"/>
          <w:rtl/>
        </w:rPr>
        <w:t xml:space="preserve"> לבקשת צד להסדר כובל</w:t>
      </w:r>
      <w:r>
        <w:rPr>
          <w:rFonts w:hint="cs"/>
          <w:rtl/>
        </w:rPr>
        <w:t>,</w:t>
      </w:r>
      <w:r w:rsidRPr="00417F6B">
        <w:rPr>
          <w:rFonts w:hint="cs"/>
          <w:rtl/>
        </w:rPr>
        <w:t xml:space="preserve"> לפטור צדדים להסדר כובל מסוים מן החובה לקבל אישור מבית הדין להגבלים עסקיים:</w:t>
      </w:r>
    </w:p>
    <w:p w:rsidR="006A180F" w:rsidRPr="00417F6B" w:rsidRDefault="006A180F" w:rsidP="001D466A">
      <w:pPr>
        <w:pStyle w:val="a4"/>
        <w:spacing w:after="120"/>
        <w:ind w:left="851" w:hanging="397"/>
        <w:rPr>
          <w:rtl/>
        </w:rPr>
      </w:pPr>
      <w:r w:rsidRPr="00417F6B">
        <w:rPr>
          <w:rFonts w:hint="cs"/>
          <w:rtl/>
        </w:rPr>
        <w:t>"</w:t>
      </w:r>
      <w:r w:rsidRPr="00417F6B">
        <w:rPr>
          <w:rtl/>
        </w:rPr>
        <w:t>(א)</w:t>
      </w:r>
      <w:r w:rsidR="001D466A">
        <w:rPr>
          <w:rFonts w:hint="cs"/>
          <w:rtl/>
        </w:rPr>
        <w:tab/>
      </w:r>
      <w:r w:rsidRPr="00417F6B">
        <w:rPr>
          <w:rtl/>
        </w:rPr>
        <w:t xml:space="preserve">הממונה רשאי, לבקשת צד להסדר כובל ולאחר התייעצות עם הועדה לפטורים ולמיזוגים לפי סעיף 23 (להלן </w:t>
      </w:r>
      <w:r w:rsidR="001D466A">
        <w:rPr>
          <w:rFonts w:hint="cs"/>
          <w:rtl/>
        </w:rPr>
        <w:t>–</w:t>
      </w:r>
      <w:r w:rsidRPr="00417F6B">
        <w:rPr>
          <w:rtl/>
        </w:rPr>
        <w:t xml:space="preserve"> הועדה), לפטור, בהחלטה מנומקת, צדדים להסדר כובל מהחובה לקבל את אישור בית הדין להסדר, אם שוכנע כי התקיימו כל אלה: </w:t>
      </w:r>
    </w:p>
    <w:p w:rsidR="006A180F" w:rsidRPr="008320F0" w:rsidRDefault="006A180F" w:rsidP="001D466A">
      <w:pPr>
        <w:pStyle w:val="a4"/>
        <w:spacing w:after="120"/>
        <w:ind w:left="1276" w:hanging="425"/>
        <w:rPr>
          <w:rtl/>
        </w:rPr>
      </w:pPr>
      <w:r w:rsidRPr="008320F0">
        <w:rPr>
          <w:rtl/>
        </w:rPr>
        <w:t>(1)</w:t>
      </w:r>
      <w:r w:rsidR="001D466A">
        <w:rPr>
          <w:rFonts w:hint="cs"/>
          <w:rtl/>
        </w:rPr>
        <w:tab/>
      </w:r>
      <w:r w:rsidRPr="001D466A">
        <w:rPr>
          <w:rFonts w:cs="Miriam"/>
          <w:szCs w:val="19"/>
          <w:rtl/>
        </w:rPr>
        <w:t>הכבילות שבהסדר הכובל אינן מגבילות את התחרות בחלק ניכר של שוק המושפע מן ההסדר, או שהן עלולות להגביל את התחרות בחלק ניכר משוק כאמור, אך אין בהן כדי לפגוע פגיעה של ממש בתחרות בשוק כאמור</w:t>
      </w:r>
      <w:r w:rsidRPr="008320F0">
        <w:rPr>
          <w:rtl/>
        </w:rPr>
        <w:t xml:space="preserve">; </w:t>
      </w:r>
    </w:p>
    <w:p w:rsidR="006A180F" w:rsidRPr="008320F0" w:rsidRDefault="006A180F" w:rsidP="001D466A">
      <w:pPr>
        <w:pStyle w:val="a4"/>
        <w:spacing w:after="120"/>
        <w:ind w:left="1276" w:hanging="425"/>
        <w:rPr>
          <w:rtl/>
        </w:rPr>
      </w:pPr>
      <w:r w:rsidRPr="008320F0">
        <w:rPr>
          <w:rtl/>
        </w:rPr>
        <w:t>(2)</w:t>
      </w:r>
      <w:r w:rsidR="001D466A">
        <w:rPr>
          <w:rFonts w:hint="cs"/>
          <w:rtl/>
        </w:rPr>
        <w:tab/>
      </w:r>
      <w:r w:rsidRPr="001D466A">
        <w:rPr>
          <w:rFonts w:cs="Miriam"/>
          <w:szCs w:val="19"/>
          <w:rtl/>
        </w:rPr>
        <w:t>עיקרו של ההסדר הכובל אינו בהפחתת התחרות או במניעתה, ואין בו כבילות שאינן נחוצות למימוש עיקרו</w:t>
      </w:r>
      <w:r w:rsidRPr="008320F0">
        <w:rPr>
          <w:rtl/>
        </w:rPr>
        <w:t xml:space="preserve">. </w:t>
      </w:r>
    </w:p>
    <w:p w:rsidR="001D466A" w:rsidRDefault="00D35634" w:rsidP="001D466A">
      <w:pPr>
        <w:pStyle w:val="a4"/>
        <w:spacing w:after="120"/>
        <w:ind w:left="851" w:hanging="397"/>
        <w:rPr>
          <w:rFonts w:hint="cs"/>
          <w:rtl/>
        </w:rPr>
      </w:pPr>
      <w:r>
        <w:rPr>
          <w:rtl/>
        </w:rPr>
        <w:br w:type="page"/>
      </w:r>
      <w:r w:rsidR="001D466A">
        <w:rPr>
          <w:rFonts w:hint="eastAsia"/>
          <w:rtl/>
        </w:rPr>
        <w:t> </w:t>
      </w:r>
      <w:r w:rsidR="006A180F" w:rsidRPr="00417F6B">
        <w:rPr>
          <w:rtl/>
        </w:rPr>
        <w:t>(ב)</w:t>
      </w:r>
      <w:r w:rsidR="001D466A">
        <w:rPr>
          <w:rFonts w:hint="cs"/>
          <w:rtl/>
        </w:rPr>
        <w:tab/>
      </w:r>
      <w:r w:rsidR="006A180F" w:rsidRPr="00417F6B">
        <w:rPr>
          <w:rtl/>
        </w:rPr>
        <w:t>הממונה רשאי, לאחר התייעצות עם הועדה, להתנות את הפטור בתנאים, לשנותו או לבטלו</w:t>
      </w:r>
      <w:r w:rsidR="001D466A">
        <w:rPr>
          <w:rFonts w:hint="cs"/>
          <w:rtl/>
        </w:rPr>
        <w:t>.</w:t>
      </w:r>
    </w:p>
    <w:p w:rsidR="006A180F" w:rsidRPr="00417F6B" w:rsidRDefault="001D466A" w:rsidP="001D466A">
      <w:pPr>
        <w:pStyle w:val="a4"/>
        <w:rPr>
          <w:rFonts w:hint="cs"/>
          <w:rtl/>
        </w:rPr>
      </w:pPr>
      <w:r>
        <w:rPr>
          <w:rFonts w:hint="cs"/>
          <w:rtl/>
        </w:rPr>
        <w:t> </w:t>
      </w:r>
      <w:r w:rsidR="006A180F" w:rsidRPr="00417F6B">
        <w:rPr>
          <w:rtl/>
        </w:rPr>
        <w:t>.</w:t>
      </w:r>
      <w:r w:rsidR="006A180F" w:rsidRPr="00417F6B">
        <w:rPr>
          <w:rFonts w:hint="cs"/>
          <w:rtl/>
        </w:rPr>
        <w:t>.."</w:t>
      </w:r>
      <w:r w:rsidR="006A180F">
        <w:rPr>
          <w:rFonts w:hint="cs"/>
          <w:rtl/>
        </w:rPr>
        <w:t xml:space="preserve"> </w:t>
      </w:r>
      <w:r>
        <w:rPr>
          <w:rFonts w:hint="cs"/>
          <w:rtl/>
        </w:rPr>
        <w:t>(</w:t>
      </w:r>
      <w:r w:rsidR="006A180F">
        <w:rPr>
          <w:rFonts w:hint="cs"/>
          <w:rtl/>
        </w:rPr>
        <w:t xml:space="preserve">ההדגשות </w:t>
      </w:r>
      <w:r>
        <w:rPr>
          <w:rFonts w:hint="cs"/>
          <w:rtl/>
        </w:rPr>
        <w:t>שלי – א' א' ל').</w:t>
      </w:r>
    </w:p>
    <w:p w:rsidR="006A180F" w:rsidRPr="006A180F" w:rsidRDefault="00323C68" w:rsidP="001D466A">
      <w:pPr>
        <w:pStyle w:val="a"/>
        <w:rPr>
          <w:rFonts w:hint="cs"/>
          <w:rtl/>
        </w:rPr>
      </w:pPr>
      <w:hyperlink r:id="rId197" w:history="1">
        <w:r w:rsidRPr="00323C68">
          <w:rPr>
            <w:rStyle w:val="Ruller40"/>
            <w:rFonts w:ascii="Times New Roman" w:hAnsi="Times New Roman"/>
            <w:color w:val="0000FF"/>
            <w:spacing w:val="0"/>
            <w:sz w:val="20"/>
            <w:szCs w:val="24"/>
            <w:u w:val="single"/>
            <w:rtl/>
          </w:rPr>
          <w:t>סעיף 15א</w:t>
        </w:r>
      </w:hyperlink>
      <w:r w:rsidR="006A180F" w:rsidRPr="006A180F">
        <w:rPr>
          <w:rStyle w:val="Ruller40"/>
          <w:rFonts w:ascii="Times New Roman" w:hAnsi="Times New Roman" w:hint="cs"/>
          <w:spacing w:val="0"/>
          <w:sz w:val="20"/>
          <w:szCs w:val="24"/>
          <w:rtl/>
        </w:rPr>
        <w:t xml:space="preserve"> לחוק ההגבלים מסמיך את הממונה על ההגבלים לקבוע פטורי</w:t>
      </w:r>
      <w:r w:rsidR="001D466A">
        <w:rPr>
          <w:rStyle w:val="Ruller40"/>
          <w:rFonts w:ascii="Times New Roman" w:hAnsi="Times New Roman" w:hint="cs"/>
          <w:spacing w:val="0"/>
          <w:sz w:val="20"/>
          <w:szCs w:val="24"/>
          <w:rtl/>
        </w:rPr>
        <w:t xml:space="preserve"> </w:t>
      </w:r>
      <w:r w:rsidR="006A180F" w:rsidRPr="006A180F">
        <w:rPr>
          <w:rStyle w:val="Ruller40"/>
          <w:rFonts w:ascii="Times New Roman" w:hAnsi="Times New Roman" w:hint="cs"/>
          <w:spacing w:val="0"/>
          <w:sz w:val="20"/>
          <w:szCs w:val="24"/>
          <w:rtl/>
        </w:rPr>
        <w:t xml:space="preserve">סוג שעניינם בסוגי הסדרים כובלים אשר יהיו פטורים מקבלת אישור בית הדין. מכוחו של סעיף זה הותקנו כללי פטור, ובהם נקבע כי הסדר כובל שפגיעתו בתחרות שולית יהא פטור מהצורך באישורו של בית </w:t>
      </w:r>
      <w:r w:rsidR="006A180F" w:rsidRPr="006A180F">
        <w:rPr>
          <w:rFonts w:hint="cs"/>
          <w:rtl/>
        </w:rPr>
        <w:t>הדין להגבלים עסקיים:</w:t>
      </w:r>
    </w:p>
    <w:p w:rsidR="006A180F" w:rsidRPr="00EC5267" w:rsidRDefault="006A180F" w:rsidP="006350BF">
      <w:pPr>
        <w:pStyle w:val="a4"/>
        <w:rPr>
          <w:rtl/>
        </w:rPr>
      </w:pPr>
      <w:r w:rsidRPr="00EC5267">
        <w:rPr>
          <w:rFonts w:hint="cs"/>
          <w:rtl/>
        </w:rPr>
        <w:t>"</w:t>
      </w:r>
      <w:r w:rsidRPr="00EC5267">
        <w:rPr>
          <w:rtl/>
        </w:rPr>
        <w:t>הסכם שפגיעתו בתחרות קלת ערך פטור מקבלת אישור בית הדין להגבלים עסקיים, אם התקיימו לגביו כל התנאים שבכללים אלה; לענ</w:t>
      </w:r>
      <w:r>
        <w:rPr>
          <w:rFonts w:hint="cs"/>
          <w:rtl/>
        </w:rPr>
        <w:t>י</w:t>
      </w:r>
      <w:r w:rsidRPr="00EC5267">
        <w:rPr>
          <w:rtl/>
        </w:rPr>
        <w:t xml:space="preserve">ן זה, </w:t>
      </w:r>
      <w:r>
        <w:rPr>
          <w:rFonts w:hint="cs"/>
          <w:rtl/>
        </w:rPr>
        <w:t>'</w:t>
      </w:r>
      <w:r w:rsidRPr="00EC5267">
        <w:rPr>
          <w:rtl/>
        </w:rPr>
        <w:t>פגיעה קלת ערך</w:t>
      </w:r>
      <w:r>
        <w:rPr>
          <w:rFonts w:hint="cs"/>
          <w:rtl/>
        </w:rPr>
        <w:t>'</w:t>
      </w:r>
      <w:r w:rsidRPr="00EC5267">
        <w:rPr>
          <w:rtl/>
        </w:rPr>
        <w:t xml:space="preserve"> </w:t>
      </w:r>
      <w:r w:rsidR="006350BF">
        <w:rPr>
          <w:rFonts w:hint="cs"/>
          <w:rtl/>
        </w:rPr>
        <w:t>–</w:t>
      </w:r>
      <w:r w:rsidRPr="00EC5267">
        <w:rPr>
          <w:rtl/>
        </w:rPr>
        <w:t xml:space="preserve"> פגיעה אשר קלה השפעתה המסתברת והשפעתה בפועל על התחרות בעסקים, בהתחשב, בין השאר, במעמדם של הצדדים בשוק המוצר, משך הזמן שבו היא נועדה להתקיים ומידת התחרות הקיימת באותו שוק מוצר</w:t>
      </w:r>
      <w:r w:rsidRPr="00EC5267">
        <w:rPr>
          <w:rFonts w:hint="cs"/>
          <w:rtl/>
        </w:rPr>
        <w:t>"</w:t>
      </w:r>
      <w:r w:rsidR="006350BF">
        <w:rPr>
          <w:rFonts w:hint="cs"/>
          <w:rtl/>
        </w:rPr>
        <w:t xml:space="preserve"> (</w:t>
      </w:r>
      <w:r w:rsidR="004C5B7C" w:rsidRPr="00A7624C">
        <w:rPr>
          <w:rFonts w:hint="eastAsia"/>
          <w:sz w:val="22"/>
          <w:rtl/>
        </w:rPr>
        <w:t>כללי</w:t>
      </w:r>
      <w:r w:rsidR="004C5B7C" w:rsidRPr="00A7624C">
        <w:rPr>
          <w:sz w:val="22"/>
          <w:rtl/>
        </w:rPr>
        <w:t xml:space="preserve"> ההגבלים העסקיים</w:t>
      </w:r>
      <w:r w:rsidR="006350BF">
        <w:rPr>
          <w:rFonts w:hint="cs"/>
          <w:sz w:val="22"/>
          <w:rtl/>
        </w:rPr>
        <w:t xml:space="preserve"> (פטור סוג להסכמים שפגיעתם בתחרות קלת ערך))</w:t>
      </w:r>
      <w:r>
        <w:rPr>
          <w:rFonts w:hint="cs"/>
          <w:rtl/>
        </w:rPr>
        <w:t>.</w:t>
      </w:r>
      <w:r w:rsidRPr="00EC5267">
        <w:rPr>
          <w:rFonts w:hint="cs"/>
          <w:rtl/>
        </w:rPr>
        <w:t xml:space="preserve"> </w:t>
      </w:r>
    </w:p>
    <w:p w:rsidR="006A180F" w:rsidRPr="00417F6B" w:rsidRDefault="006A180F" w:rsidP="009F3939">
      <w:pPr>
        <w:pStyle w:val="a"/>
        <w:spacing w:line="280" w:lineRule="exact"/>
        <w:rPr>
          <w:rFonts w:hint="cs"/>
          <w:rtl/>
        </w:rPr>
      </w:pPr>
      <w:r>
        <w:rPr>
          <w:rFonts w:hint="cs"/>
          <w:rtl/>
        </w:rPr>
        <w:t>29.</w:t>
      </w:r>
      <w:r w:rsidRPr="00417F6B">
        <w:rPr>
          <w:rFonts w:hint="cs"/>
          <w:rtl/>
        </w:rPr>
        <w:tab/>
        <w:t>עינ</w:t>
      </w:r>
      <w:r>
        <w:rPr>
          <w:rFonts w:hint="cs"/>
          <w:rtl/>
        </w:rPr>
        <w:t>י</w:t>
      </w:r>
      <w:r w:rsidRPr="00417F6B">
        <w:rPr>
          <w:rFonts w:hint="cs"/>
          <w:rtl/>
        </w:rPr>
        <w:t xml:space="preserve">נו </w:t>
      </w:r>
      <w:r>
        <w:rPr>
          <w:rFonts w:hint="cs"/>
          <w:rtl/>
        </w:rPr>
        <w:t>הרואות כי לצד הגדרתו הרחבה</w:t>
      </w:r>
      <w:r w:rsidR="006E1444">
        <w:rPr>
          <w:rFonts w:hint="cs"/>
          <w:rtl/>
        </w:rPr>
        <w:t xml:space="preserve"> של </w:t>
      </w:r>
      <w:r w:rsidRPr="00417F6B">
        <w:rPr>
          <w:rFonts w:hint="cs"/>
          <w:rtl/>
        </w:rPr>
        <w:t xml:space="preserve">חוק </w:t>
      </w:r>
      <w:r w:rsidR="006E1444">
        <w:rPr>
          <w:rFonts w:hint="cs"/>
          <w:rtl/>
        </w:rPr>
        <w:t xml:space="preserve">ההגבלים </w:t>
      </w:r>
      <w:r>
        <w:rPr>
          <w:rFonts w:hint="cs"/>
          <w:rtl/>
        </w:rPr>
        <w:t>ש</w:t>
      </w:r>
      <w:r w:rsidRPr="00417F6B">
        <w:rPr>
          <w:rFonts w:hint="cs"/>
          <w:rtl/>
        </w:rPr>
        <w:t>עמדנו</w:t>
      </w:r>
      <w:r w:rsidRPr="00F2362F">
        <w:rPr>
          <w:rFonts w:hint="cs"/>
          <w:rtl/>
        </w:rPr>
        <w:t xml:space="preserve"> </w:t>
      </w:r>
      <w:r w:rsidRPr="00417F6B">
        <w:rPr>
          <w:rFonts w:hint="cs"/>
          <w:rtl/>
        </w:rPr>
        <w:t xml:space="preserve">עליה </w:t>
      </w:r>
      <w:r>
        <w:rPr>
          <w:rFonts w:hint="cs"/>
          <w:rtl/>
        </w:rPr>
        <w:t>קיימים מנגנונים</w:t>
      </w:r>
      <w:r w:rsidRPr="00417F6B">
        <w:rPr>
          <w:rFonts w:hint="cs"/>
          <w:rtl/>
        </w:rPr>
        <w:t xml:space="preserve"> שונים </w:t>
      </w:r>
      <w:r>
        <w:rPr>
          <w:rFonts w:hint="cs"/>
          <w:rtl/>
        </w:rPr>
        <w:t>ש</w:t>
      </w:r>
      <w:r w:rsidRPr="00417F6B">
        <w:rPr>
          <w:rFonts w:hint="cs"/>
          <w:rtl/>
        </w:rPr>
        <w:t>מטרתם אחת,</w:t>
      </w:r>
      <w:r>
        <w:rPr>
          <w:rFonts w:hint="cs"/>
          <w:rtl/>
        </w:rPr>
        <w:t xml:space="preserve"> לשמש פתחי מילוט במקרים שבהם מידת הפגיעה בערך התחרות החופשית אינה מצדיקה את הפעלתם של האיסורים הקבועים בחוק</w:t>
      </w:r>
      <w:r w:rsidRPr="00417F6B">
        <w:rPr>
          <w:rFonts w:hint="cs"/>
          <w:rtl/>
        </w:rPr>
        <w:t xml:space="preserve">. </w:t>
      </w:r>
      <w:r>
        <w:rPr>
          <w:rFonts w:hint="cs"/>
          <w:rtl/>
        </w:rPr>
        <w:t>מכאן שמנגנונים אלה משלבים את העיקרון בדבר זוטי דברים במסגרת דיני ההגבלים העסקיים. האפשרות לזכות בהיתרים ובפטורים השונים שנזכרו לעיל מבטאת את ההכרה בכך שמעשה שאין בו מינימום של אנטי</w:t>
      </w:r>
      <w:r w:rsidRPr="006350BF">
        <w:rPr>
          <w:rFonts w:hint="cs"/>
          <w:position w:val="4"/>
          <w:rtl/>
        </w:rPr>
        <w:t>-</w:t>
      </w:r>
      <w:r>
        <w:rPr>
          <w:rFonts w:hint="cs"/>
          <w:rtl/>
        </w:rPr>
        <w:t xml:space="preserve">חברתיות, לא יהיה הסדר כובל גם אם נתמלאו בו דרישותיה הפורמאליות של העבירה. </w:t>
      </w:r>
      <w:r w:rsidRPr="00417F6B">
        <w:rPr>
          <w:rFonts w:hint="cs"/>
          <w:rtl/>
        </w:rPr>
        <w:t xml:space="preserve">אולם קיומם של </w:t>
      </w:r>
      <w:r>
        <w:rPr>
          <w:rFonts w:hint="cs"/>
          <w:rtl/>
        </w:rPr>
        <w:t>מנגנונים</w:t>
      </w:r>
      <w:r w:rsidRPr="00417F6B">
        <w:rPr>
          <w:rFonts w:hint="cs"/>
          <w:rtl/>
        </w:rPr>
        <w:t xml:space="preserve"> אל</w:t>
      </w:r>
      <w:r>
        <w:rPr>
          <w:rFonts w:hint="cs"/>
          <w:rtl/>
        </w:rPr>
        <w:t>ה</w:t>
      </w:r>
      <w:r w:rsidRPr="00417F6B">
        <w:rPr>
          <w:rFonts w:hint="cs"/>
          <w:rtl/>
        </w:rPr>
        <w:t xml:space="preserve"> אינו מונע את החלתו של העיקרון הכללי בדבר זוטי דברים, כפי שהוא בא לידי ביטוי ב</w:t>
      </w:r>
      <w:hyperlink r:id="rId198" w:history="1">
        <w:r w:rsidR="00A7624C" w:rsidRPr="00A7624C">
          <w:rPr>
            <w:rStyle w:val="Hyperlink"/>
            <w:rtl/>
          </w:rPr>
          <w:t>חוק העונשין</w:t>
        </w:r>
      </w:hyperlink>
      <w:r w:rsidRPr="00417F6B">
        <w:rPr>
          <w:rFonts w:hint="cs"/>
          <w:rtl/>
        </w:rPr>
        <w:t xml:space="preserve">. כך שוכנים להם זה לצד זה העיקרון הכללי בדבר זוטי דברים וההיתרים הספציפיים שמבטאים את רוחו. ברם </w:t>
      </w:r>
      <w:r>
        <w:rPr>
          <w:rFonts w:hint="cs"/>
          <w:rtl/>
        </w:rPr>
        <w:t xml:space="preserve">כאשר קבע המחוקק מנגנונים אלה בחוק ההגבלים, הוא העדיף מנגנונים של מניעה מראש על פני פטור שיינתן בדיעבד. העולה מכך הוא כי </w:t>
      </w:r>
      <w:r w:rsidRPr="00417F6B">
        <w:rPr>
          <w:rFonts w:hint="cs"/>
          <w:rtl/>
        </w:rPr>
        <w:t xml:space="preserve">קודם להפעלתו של הסייג בדבר זוטי דברים יפעיל חוק ההגבלים את המסננות </w:t>
      </w:r>
      <w:r>
        <w:rPr>
          <w:rFonts w:hint="cs"/>
          <w:rtl/>
        </w:rPr>
        <w:t xml:space="preserve">הקבועות בו, </w:t>
      </w:r>
      <w:r w:rsidRPr="00417F6B">
        <w:rPr>
          <w:rFonts w:hint="cs"/>
          <w:rtl/>
        </w:rPr>
        <w:t>ורק מ</w:t>
      </w:r>
      <w:r>
        <w:rPr>
          <w:rFonts w:hint="cs"/>
          <w:rtl/>
        </w:rPr>
        <w:t>שנעשה כן, יש</w:t>
      </w:r>
      <w:r w:rsidRPr="00417F6B">
        <w:rPr>
          <w:rFonts w:hint="cs"/>
          <w:rtl/>
        </w:rPr>
        <w:t xml:space="preserve"> לבחון את תחולתו של הסייג בדבר זוטי דברים. לדידי, מצב זה עשוי להגביה את המשוכה </w:t>
      </w:r>
      <w:r>
        <w:rPr>
          <w:rFonts w:hint="cs"/>
          <w:rtl/>
        </w:rPr>
        <w:t xml:space="preserve">הניצבת </w:t>
      </w:r>
      <w:r w:rsidRPr="00417F6B">
        <w:rPr>
          <w:rFonts w:hint="cs"/>
          <w:rtl/>
        </w:rPr>
        <w:t xml:space="preserve">בפני הטוען כי חל עליו סייג זה. אכן, מי שלא צלח לעבור </w:t>
      </w:r>
      <w:r>
        <w:rPr>
          <w:rFonts w:hint="cs"/>
          <w:rtl/>
        </w:rPr>
        <w:t xml:space="preserve">דרך </w:t>
      </w:r>
      <w:r w:rsidRPr="00417F6B">
        <w:rPr>
          <w:rFonts w:hint="cs"/>
          <w:rtl/>
        </w:rPr>
        <w:t>הפתח שפתחו בפניו ההיתרים של חוק ההגבלים, עד</w:t>
      </w:r>
      <w:r>
        <w:rPr>
          <w:rFonts w:hint="cs"/>
          <w:rtl/>
        </w:rPr>
        <w:t>י</w:t>
      </w:r>
      <w:r w:rsidRPr="00417F6B">
        <w:rPr>
          <w:rFonts w:hint="cs"/>
          <w:rtl/>
        </w:rPr>
        <w:t xml:space="preserve">ין יש בידו פתח </w:t>
      </w:r>
      <w:r>
        <w:rPr>
          <w:rFonts w:hint="cs"/>
          <w:rtl/>
        </w:rPr>
        <w:t>מילוט אחר,</w:t>
      </w:r>
      <w:r w:rsidRPr="00417F6B">
        <w:rPr>
          <w:rFonts w:hint="cs"/>
          <w:rtl/>
        </w:rPr>
        <w:t xml:space="preserve"> אולם לשיטתי צר הוא יותר מקודמו</w:t>
      </w:r>
      <w:r>
        <w:rPr>
          <w:rFonts w:hint="cs"/>
          <w:rtl/>
        </w:rPr>
        <w:t>,</w:t>
      </w:r>
      <w:r w:rsidRPr="00417F6B">
        <w:rPr>
          <w:rFonts w:hint="cs"/>
          <w:rtl/>
        </w:rPr>
        <w:t xml:space="preserve"> ואישור למעבר בו יינתן במשורה.</w:t>
      </w:r>
      <w:r w:rsidR="00BA5973">
        <w:rPr>
          <w:rFonts w:hint="cs"/>
          <w:rtl/>
        </w:rPr>
        <w:t xml:space="preserve"> </w:t>
      </w:r>
    </w:p>
    <w:p w:rsidR="006A180F" w:rsidRPr="00957738" w:rsidRDefault="00D35634" w:rsidP="005D40E8">
      <w:pPr>
        <w:pStyle w:val="a"/>
        <w:rPr>
          <w:rFonts w:hint="cs"/>
          <w:rtl/>
        </w:rPr>
      </w:pPr>
      <w:r>
        <w:rPr>
          <w:rFonts w:cs="Miriam"/>
          <w:szCs w:val="19"/>
          <w:rtl/>
        </w:rPr>
        <w:br w:type="page"/>
      </w:r>
      <w:r w:rsidR="006A180F" w:rsidRPr="005D40E8">
        <w:rPr>
          <w:rFonts w:cs="Miriam" w:hint="cs"/>
          <w:szCs w:val="19"/>
          <w:rtl/>
        </w:rPr>
        <w:t>מן הכלל אל הפרט</w:t>
      </w:r>
    </w:p>
    <w:p w:rsidR="006A180F" w:rsidRDefault="006A180F" w:rsidP="00166A59">
      <w:pPr>
        <w:pStyle w:val="a"/>
        <w:spacing w:line="290" w:lineRule="exact"/>
        <w:rPr>
          <w:rFonts w:hint="cs"/>
          <w:rtl/>
        </w:rPr>
      </w:pPr>
      <w:r>
        <w:rPr>
          <w:rFonts w:hint="cs"/>
          <w:rtl/>
        </w:rPr>
        <w:t>30.</w:t>
      </w:r>
      <w:r>
        <w:rPr>
          <w:rFonts w:hint="cs"/>
          <w:rtl/>
        </w:rPr>
        <w:tab/>
        <w:t>כאמור, בית משפט קמא מצא כי מעשיהם של המשיבים 1 ו</w:t>
      </w:r>
      <w:r w:rsidRPr="006350BF">
        <w:rPr>
          <w:rFonts w:hint="cs"/>
          <w:position w:val="4"/>
          <w:rtl/>
        </w:rPr>
        <w:t>-</w:t>
      </w:r>
      <w:r>
        <w:rPr>
          <w:rFonts w:hint="cs"/>
          <w:rtl/>
        </w:rPr>
        <w:t xml:space="preserve">2 חוסים בצלו של הסייג בדבר זוטי דברים, אולם לאור האמור עד כה חוששני שאין בידי להצטרף למסקנה זו. מעובדות המקרה מצטיירת תמונה ברורה של חלוקת שוק, וחלוקה זו היא הסדר כובל כמשמעותו </w:t>
      </w:r>
      <w:hyperlink r:id="rId199" w:history="1">
        <w:r w:rsidR="00323C68" w:rsidRPr="00323C68">
          <w:rPr>
            <w:color w:val="0000FF"/>
            <w:u w:val="single"/>
            <w:rtl/>
          </w:rPr>
          <w:t>בסעיף 2(ב)(3)</w:t>
        </w:r>
      </w:hyperlink>
      <w:r>
        <w:rPr>
          <w:rFonts w:hint="cs"/>
          <w:rtl/>
        </w:rPr>
        <w:t xml:space="preserve"> ל</w:t>
      </w:r>
      <w:hyperlink r:id="rId200" w:history="1">
        <w:r w:rsidR="00A7624C" w:rsidRPr="00A7624C">
          <w:rPr>
            <w:rStyle w:val="Hyperlink"/>
            <w:rtl/>
          </w:rPr>
          <w:t>חוק ההגבלים העסקיים</w:t>
        </w:r>
      </w:hyperlink>
      <w:r>
        <w:rPr>
          <w:rFonts w:hint="cs"/>
          <w:rtl/>
        </w:rPr>
        <w:t xml:space="preserve">. לרשותם של הצדדים להסכם עמדה האפשרות להשתמש בכל אותם מנגנונים והיתרים שחוק ההגבלים העמיד לרשותם, אולם מטעמים השמורים עמם, וסבורני כי אין קושי לעמוד עליהם, הם בחרו שלא לעשות זאת, ועניין זה לבדו חייב את בית המשפט לנקוט זהירות כפולה ומכופלת בעת שהוא ניגש לבחון את תחולתו של הסייג בדבר זוטי דברים על מקרה זה. אכן, עיריית חיפה לא הייתה מעוניינת לקיים מכרז עד שהדבר נכפה עליה על ידי בית המשפט. אולם עמדה זו של העירייה אינה משקפת בהכרח את אינטרס הציבור. אדרבה, העירייה תמכה בעקיפין ביצירתו של הסדר כובל ומנעה תחרות שאם הייתה מתקיימת אפשר שהייתה מיטיבה עם הקופה הציבורית. אפשרות אחרונה זו אין מקורה בהשערות בעלמא, ודי אם אשוב ואדגיש את מה שכבר אמרתי, היינו אם זכייתה של מנורה הייתה כה ברורה וידועה מראש, מה טעם ראתה חברה זו להתקשר באותו הסכם שבגדרו הבטיחה לאריאל תמורה כנגד התחייבות שמטרתה אחת </w:t>
      </w:r>
      <w:r>
        <w:rPr>
          <w:rtl/>
        </w:rPr>
        <w:t>–</w:t>
      </w:r>
      <w:r>
        <w:rPr>
          <w:rFonts w:hint="cs"/>
          <w:rtl/>
        </w:rPr>
        <w:t xml:space="preserve"> למנוע ממנה להגיש הצעה למכרז חיפה. לחלופין, ואם יש ממש בטענת המשיבים שלפיה נועדה התמורה להניע את אריאל שלא לפנות לערכאות, סבורני כי גם בכך גלומה פגיעה באינטרס הציבורי. ובמילים אחרות, אם הייתה בידי אריאל עילה של ממש לפנות לבית המשפט, אינטרס הציבור הוא שעילה זו תתברר עד תום, הואיל ובירור כזה עשוי לסלק כל ספק בנוגע לכשרות המכרז ולזכייתה של מנורה בו. לעומת זאת אם סברה מנורה כי אין בידי אריאל עילה של ממש למנוע ממנה את זכייתה, מה טעם היה להתחייב לשלם לה תשלום כלשהו בהליך שתוצאתו ידועה מראש, בייחוד כאשר גם במהלכו של ההליך המשפטי, ואפילו סיומו יתמהמה, היא מוסיפה לתחזק את מערכת הרמזורים בחיפה כפי שעשתה בעבר? </w:t>
      </w:r>
    </w:p>
    <w:p w:rsidR="006A180F" w:rsidRDefault="006A180F" w:rsidP="00166A59">
      <w:pPr>
        <w:pStyle w:val="a"/>
        <w:spacing w:line="290" w:lineRule="exact"/>
        <w:rPr>
          <w:rFonts w:hint="cs"/>
          <w:rtl/>
        </w:rPr>
      </w:pPr>
      <w:r>
        <w:rPr>
          <w:rFonts w:hint="cs"/>
          <w:rtl/>
        </w:rPr>
        <w:t xml:space="preserve">בנסיבות אלו אינני סבור שאת ההסדר הכובל שמנורה ואריאל נתנו לו את ידן, היה ניתן להגדיר כ"קל ערך" או זוטות, ועל כן אין המשיבים יכולים לזכות בפטור מהרשעה מכוח </w:t>
      </w:r>
      <w:hyperlink r:id="rId201" w:history="1">
        <w:r w:rsidR="00323C68" w:rsidRPr="00323C68">
          <w:rPr>
            <w:color w:val="0000FF"/>
            <w:u w:val="single"/>
            <w:rtl/>
          </w:rPr>
          <w:t>סעיף 34יז</w:t>
        </w:r>
      </w:hyperlink>
      <w:r>
        <w:rPr>
          <w:rFonts w:hint="cs"/>
          <w:rtl/>
        </w:rPr>
        <w:t xml:space="preserve"> ל</w:t>
      </w:r>
      <w:hyperlink r:id="rId202" w:history="1">
        <w:r w:rsidR="00A7624C" w:rsidRPr="00A7624C">
          <w:rPr>
            <w:rStyle w:val="Hyperlink"/>
            <w:rtl/>
          </w:rPr>
          <w:t>חוק העונשין</w:t>
        </w:r>
      </w:hyperlink>
      <w:r>
        <w:rPr>
          <w:rFonts w:hint="cs"/>
          <w:rtl/>
        </w:rPr>
        <w:t xml:space="preserve">. </w:t>
      </w:r>
    </w:p>
    <w:p w:rsidR="006A180F" w:rsidRPr="005D40E8" w:rsidRDefault="00166A59" w:rsidP="005D40E8">
      <w:pPr>
        <w:pStyle w:val="a"/>
        <w:rPr>
          <w:rFonts w:cs="Miriam" w:hint="cs"/>
          <w:szCs w:val="19"/>
          <w:rtl/>
        </w:rPr>
      </w:pPr>
      <w:r>
        <w:rPr>
          <w:rtl/>
        </w:rPr>
        <w:br w:type="page"/>
      </w:r>
      <w:r w:rsidR="006A180F">
        <w:rPr>
          <w:rFonts w:hint="cs"/>
          <w:rtl/>
        </w:rPr>
        <w:t xml:space="preserve"> </w:t>
      </w:r>
      <w:r w:rsidR="006A180F" w:rsidRPr="005D40E8">
        <w:rPr>
          <w:rFonts w:cs="Miriam" w:hint="cs"/>
          <w:szCs w:val="19"/>
          <w:rtl/>
        </w:rPr>
        <w:t>אחריותו של המשיב 3 כמסייע</w:t>
      </w:r>
    </w:p>
    <w:p w:rsidR="006A180F" w:rsidRPr="004835A6" w:rsidRDefault="006A180F" w:rsidP="006A180F">
      <w:pPr>
        <w:pStyle w:val="a"/>
        <w:rPr>
          <w:rFonts w:hint="cs"/>
          <w:rtl/>
        </w:rPr>
      </w:pPr>
      <w:r w:rsidRPr="004835A6">
        <w:rPr>
          <w:rFonts w:hint="cs"/>
          <w:sz w:val="24"/>
          <w:rtl/>
        </w:rPr>
        <w:t>31.</w:t>
      </w:r>
      <w:r w:rsidRPr="004835A6">
        <w:rPr>
          <w:rFonts w:hint="cs"/>
          <w:sz w:val="24"/>
          <w:rtl/>
        </w:rPr>
        <w:tab/>
      </w:r>
      <w:r w:rsidRPr="004835A6">
        <w:rPr>
          <w:rFonts w:hint="cs"/>
          <w:rtl/>
        </w:rPr>
        <w:t>בית המשפט המחוזי קבע כי נתקיימו במשיב 3 כל יסודותיה של עבירת הסיוע</w:t>
      </w:r>
      <w:r w:rsidRPr="004835A6">
        <w:rPr>
          <w:rFonts w:hint="cs"/>
          <w:sz w:val="24"/>
          <w:rtl/>
        </w:rPr>
        <w:t xml:space="preserve">. </w:t>
      </w:r>
      <w:r w:rsidRPr="004835A6">
        <w:rPr>
          <w:rFonts w:hint="cs"/>
          <w:rtl/>
        </w:rPr>
        <w:t xml:space="preserve">על קביעה זו משיג </w:t>
      </w:r>
      <w:r>
        <w:rPr>
          <w:rFonts w:hint="cs"/>
          <w:rtl/>
        </w:rPr>
        <w:t>ה</w:t>
      </w:r>
      <w:r w:rsidRPr="004835A6">
        <w:rPr>
          <w:rFonts w:hint="cs"/>
          <w:rtl/>
        </w:rPr>
        <w:t>משיב 3. לדידו, לא התקיים בו היסוד הנפשי הנדרש לצורך הרשעה.</w:t>
      </w:r>
    </w:p>
    <w:p w:rsidR="006A180F" w:rsidRDefault="00323C68" w:rsidP="005D40E8">
      <w:pPr>
        <w:pStyle w:val="a"/>
        <w:rPr>
          <w:rFonts w:hint="cs"/>
          <w:rtl/>
        </w:rPr>
      </w:pPr>
      <w:hyperlink r:id="rId203" w:history="1">
        <w:r w:rsidRPr="00323C68">
          <w:rPr>
            <w:color w:val="0000FF"/>
            <w:u w:val="single"/>
            <w:rtl/>
          </w:rPr>
          <w:t>סעיף 31</w:t>
        </w:r>
      </w:hyperlink>
      <w:r w:rsidR="006A180F">
        <w:rPr>
          <w:rFonts w:hint="cs"/>
          <w:rtl/>
        </w:rPr>
        <w:t xml:space="preserve"> ל</w:t>
      </w:r>
      <w:hyperlink r:id="rId204" w:history="1">
        <w:r w:rsidR="00A7624C" w:rsidRPr="00A7624C">
          <w:rPr>
            <w:rStyle w:val="Hyperlink"/>
            <w:rtl/>
          </w:rPr>
          <w:t>חוק העונשין</w:t>
        </w:r>
      </w:hyperlink>
      <w:r w:rsidR="006A180F">
        <w:rPr>
          <w:rFonts w:hint="cs"/>
          <w:rtl/>
        </w:rPr>
        <w:t xml:space="preserve"> קובע:</w:t>
      </w:r>
    </w:p>
    <w:p w:rsidR="006A180F" w:rsidRDefault="006A180F" w:rsidP="005D40E8">
      <w:pPr>
        <w:pStyle w:val="a4"/>
        <w:rPr>
          <w:rFonts w:hint="cs"/>
          <w:rtl/>
        </w:rPr>
      </w:pPr>
      <w:r>
        <w:rPr>
          <w:rFonts w:hint="cs"/>
          <w:rtl/>
        </w:rPr>
        <w:t>"מי אשר, לפני עשיית העבירה או בשעת עשייתה, עשה מעשה כדי לאפשר את הביצוע, להקל עליו או לאבטח אותו, או למנוע את תפיסת המבצע, גילוי העבירה או שללה, או כדי לתרום בדרך אחרת ליצירת תנאים לשם עשיית העבירה, הוא מסייע".</w:t>
      </w:r>
    </w:p>
    <w:p w:rsidR="006A180F" w:rsidRDefault="006A180F" w:rsidP="00C96A60">
      <w:pPr>
        <w:pStyle w:val="a"/>
        <w:rPr>
          <w:rFonts w:hint="cs"/>
          <w:rtl/>
        </w:rPr>
      </w:pPr>
      <w:r>
        <w:rPr>
          <w:rFonts w:hint="cs"/>
          <w:rtl/>
        </w:rPr>
        <w:t>עבירת הסיוע היא עבירה התנהגותית המאופיינת בהיותה משנית ועקיפה לביצועה של העבירה העיקרית. המסייע הוא שותף זוטר, תרומתו עקיפה וחיצונית למעשה העברייני, הוא אינו משתתף בביצוע העיקרי של העבירה, אלא יוצר תנאים שהם בבחינת מעשי עזר לביצוע העבירה (</w:t>
      </w:r>
      <w:r w:rsidRPr="004835A6">
        <w:rPr>
          <w:rFonts w:hint="cs"/>
          <w:rtl/>
        </w:rPr>
        <w:t>ראו</w:t>
      </w:r>
      <w:r>
        <w:rPr>
          <w:rFonts w:hint="cs"/>
          <w:rtl/>
        </w:rPr>
        <w:t>:</w:t>
      </w:r>
      <w:r w:rsidRPr="004835A6">
        <w:rPr>
          <w:rFonts w:hint="cs"/>
          <w:rtl/>
        </w:rPr>
        <w:t xml:space="preserve"> </w:t>
      </w:r>
      <w:hyperlink r:id="rId205" w:history="1">
        <w:r w:rsidR="004C5B7C" w:rsidRPr="00AD4D63">
          <w:rPr>
            <w:rStyle w:val="Hyperlink"/>
            <w:rFonts w:cs="Miriam" w:hint="eastAsia"/>
            <w:szCs w:val="19"/>
            <w:rtl/>
          </w:rPr>
          <w:t>ע</w:t>
        </w:r>
        <w:r w:rsidR="004C5B7C" w:rsidRPr="00AD4D63">
          <w:rPr>
            <w:rStyle w:val="Hyperlink"/>
            <w:rFonts w:cs="Miriam"/>
            <w:szCs w:val="19"/>
            <w:rtl/>
          </w:rPr>
          <w:t>"פ 4389/93</w:t>
        </w:r>
      </w:hyperlink>
      <w:r w:rsidRPr="005A59D3">
        <w:rPr>
          <w:rFonts w:cs="Miriam" w:hint="cs"/>
          <w:szCs w:val="19"/>
          <w:rtl/>
        </w:rPr>
        <w:t xml:space="preserve"> מרדכי נ' מדינת ישראל</w:t>
      </w:r>
      <w:r w:rsidR="005A59D3">
        <w:rPr>
          <w:rFonts w:cs="Miriam" w:hint="cs"/>
          <w:szCs w:val="19"/>
          <w:rtl/>
        </w:rPr>
        <w:t xml:space="preserve"> [18]</w:t>
      </w:r>
      <w:r>
        <w:rPr>
          <w:rFonts w:hint="cs"/>
          <w:rtl/>
        </w:rPr>
        <w:t xml:space="preserve">, </w:t>
      </w:r>
      <w:r w:rsidR="005A59D3">
        <w:rPr>
          <w:rFonts w:cs="Miriam" w:hint="cs"/>
          <w:szCs w:val="19"/>
          <w:rtl/>
        </w:rPr>
        <w:t xml:space="preserve">בעמ' </w:t>
      </w:r>
      <w:r w:rsidRPr="005A59D3">
        <w:rPr>
          <w:rFonts w:cs="Miriam" w:hint="cs"/>
          <w:szCs w:val="19"/>
          <w:rtl/>
        </w:rPr>
        <w:t>251</w:t>
      </w:r>
      <w:r>
        <w:rPr>
          <w:rFonts w:hint="cs"/>
          <w:rtl/>
        </w:rPr>
        <w:t xml:space="preserve">; </w:t>
      </w:r>
      <w:hyperlink r:id="rId206" w:history="1">
        <w:r w:rsidR="004C5B7C" w:rsidRPr="00AD4D63">
          <w:rPr>
            <w:rStyle w:val="Hyperlink"/>
            <w:rFonts w:cs="Miriam" w:hint="eastAsia"/>
            <w:szCs w:val="19"/>
            <w:rtl/>
          </w:rPr>
          <w:t>ע</w:t>
        </w:r>
        <w:r w:rsidR="004C5B7C" w:rsidRPr="00AD4D63">
          <w:rPr>
            <w:rStyle w:val="Hyperlink"/>
            <w:rFonts w:cs="Miriam"/>
            <w:szCs w:val="19"/>
            <w:rtl/>
          </w:rPr>
          <w:t>"פ 7085/93</w:t>
        </w:r>
      </w:hyperlink>
      <w:r w:rsidRPr="005A59D3">
        <w:rPr>
          <w:rFonts w:cs="Miriam" w:hint="cs"/>
          <w:szCs w:val="19"/>
          <w:rtl/>
        </w:rPr>
        <w:t xml:space="preserve"> נג'אר נ' מדינת ישראל</w:t>
      </w:r>
      <w:r w:rsidR="005A59D3">
        <w:rPr>
          <w:rFonts w:cs="Miriam" w:hint="cs"/>
          <w:szCs w:val="19"/>
          <w:rtl/>
        </w:rPr>
        <w:t xml:space="preserve"> [19]</w:t>
      </w:r>
      <w:r>
        <w:rPr>
          <w:rFonts w:hint="cs"/>
          <w:rtl/>
        </w:rPr>
        <w:t>,</w:t>
      </w:r>
      <w:r w:rsidR="005A59D3">
        <w:rPr>
          <w:rFonts w:hint="cs"/>
          <w:rtl/>
        </w:rPr>
        <w:t xml:space="preserve"> </w:t>
      </w:r>
      <w:r w:rsidR="005A59D3">
        <w:rPr>
          <w:rFonts w:cs="Miriam" w:hint="cs"/>
          <w:szCs w:val="19"/>
          <w:rtl/>
        </w:rPr>
        <w:t>בעמ'</w:t>
      </w:r>
      <w:r w:rsidRPr="005A59D3">
        <w:rPr>
          <w:rFonts w:cs="Miriam" w:hint="cs"/>
          <w:szCs w:val="19"/>
          <w:rtl/>
        </w:rPr>
        <w:t xml:space="preserve"> 238</w:t>
      </w:r>
      <w:r>
        <w:rPr>
          <w:rFonts w:hint="cs"/>
          <w:rtl/>
        </w:rPr>
        <w:t xml:space="preserve">; </w:t>
      </w:r>
      <w:hyperlink r:id="rId207" w:history="1">
        <w:r w:rsidR="004C5B7C" w:rsidRPr="004C5B7C">
          <w:rPr>
            <w:rStyle w:val="Hyperlink"/>
            <w:rFonts w:cs="Miriam" w:hint="eastAsia"/>
            <w:szCs w:val="19"/>
            <w:rtl/>
          </w:rPr>
          <w:t>ע</w:t>
        </w:r>
        <w:r w:rsidR="004C5B7C" w:rsidRPr="004C5B7C">
          <w:rPr>
            <w:rStyle w:val="Hyperlink"/>
            <w:rFonts w:cs="Miriam"/>
            <w:szCs w:val="19"/>
            <w:rtl/>
          </w:rPr>
          <w:t>"פ 320/99</w:t>
        </w:r>
      </w:hyperlink>
      <w:r w:rsidRPr="00D8563F">
        <w:rPr>
          <w:rFonts w:cs="Miriam" w:hint="cs"/>
          <w:szCs w:val="19"/>
          <w:rtl/>
        </w:rPr>
        <w:t xml:space="preserve"> פלונית נ' מדינת ישראל</w:t>
      </w:r>
      <w:r>
        <w:rPr>
          <w:rFonts w:hint="cs"/>
          <w:rtl/>
        </w:rPr>
        <w:t xml:space="preserve"> </w:t>
      </w:r>
      <w:r w:rsidR="00D8563F">
        <w:rPr>
          <w:rFonts w:hint="cs"/>
          <w:rtl/>
        </w:rPr>
        <w:t>(</w:t>
      </w:r>
      <w:r>
        <w:rPr>
          <w:rFonts w:hint="cs"/>
          <w:rtl/>
        </w:rPr>
        <w:t>להלן</w:t>
      </w:r>
      <w:r w:rsidR="00D8563F">
        <w:rPr>
          <w:rFonts w:hint="cs"/>
          <w:rtl/>
        </w:rPr>
        <w:t xml:space="preserve"> –</w:t>
      </w:r>
      <w:r>
        <w:rPr>
          <w:rFonts w:hint="cs"/>
          <w:rtl/>
        </w:rPr>
        <w:t xml:space="preserve"> </w:t>
      </w:r>
      <w:r w:rsidRPr="00D8563F">
        <w:rPr>
          <w:rFonts w:hint="cs"/>
          <w:rtl/>
        </w:rPr>
        <w:t>פרשת</w:t>
      </w:r>
      <w:r w:rsidRPr="00D8563F">
        <w:rPr>
          <w:rFonts w:cs="Miriam" w:hint="cs"/>
          <w:sz w:val="24"/>
          <w:rtl/>
        </w:rPr>
        <w:t xml:space="preserve"> </w:t>
      </w:r>
      <w:r w:rsidRPr="00D8563F">
        <w:rPr>
          <w:rFonts w:cs="Miriam" w:hint="cs"/>
          <w:szCs w:val="19"/>
          <w:rtl/>
        </w:rPr>
        <w:t>פלונית</w:t>
      </w:r>
      <w:r w:rsidR="00D8563F">
        <w:rPr>
          <w:rFonts w:cs="Miriam" w:hint="cs"/>
          <w:szCs w:val="19"/>
          <w:rtl/>
        </w:rPr>
        <w:t xml:space="preserve"> [20]</w:t>
      </w:r>
      <w:r w:rsidR="00D8563F">
        <w:rPr>
          <w:rFonts w:hint="cs"/>
          <w:rtl/>
        </w:rPr>
        <w:t xml:space="preserve">), </w:t>
      </w:r>
      <w:r w:rsidR="00D8563F">
        <w:rPr>
          <w:rFonts w:cs="Miriam" w:hint="cs"/>
          <w:szCs w:val="19"/>
          <w:rtl/>
        </w:rPr>
        <w:t>בעמ'</w:t>
      </w:r>
      <w:r w:rsidR="00D8563F" w:rsidRPr="00D8563F">
        <w:rPr>
          <w:rFonts w:cs="Miriam" w:hint="cs"/>
          <w:szCs w:val="19"/>
          <w:rtl/>
        </w:rPr>
        <w:t xml:space="preserve"> 31</w:t>
      </w:r>
      <w:r>
        <w:rPr>
          <w:rFonts w:hint="cs"/>
          <w:rtl/>
        </w:rPr>
        <w:t>). את התנהגותו של המסייע ניתן לאפיין כמי שיש ביכולתו לתרום להגשמת היסוד העובדתי שבעבירה על ידי המבצע העיקרי</w:t>
      </w:r>
      <w:r w:rsidRPr="00EE6D4F">
        <w:rPr>
          <w:rFonts w:hint="cs"/>
          <w:rtl/>
        </w:rPr>
        <w:t xml:space="preserve"> </w:t>
      </w:r>
      <w:r>
        <w:rPr>
          <w:rFonts w:hint="cs"/>
          <w:rtl/>
        </w:rPr>
        <w:t xml:space="preserve">או לאפשרה. היסוד הנפשי בעבירת הסיוע מורכב משני נדבכים: האחד, נדבך המודעות, שנחלק אף הוא לשניים: בחלקו הראשון נדרשת מן המסייע מודעות כי בהתנהגותו הוא יוצר את התנאים שיקלו על המבצע העיקרי של העבירה, או יאפשרו לו, להגשימה. בחלקו השני נדרשת מן המסייע מודעות לקיום הנסיבות, דהיינו המודעות לכך שהמבצע העיקרי מבצע או עומד לבצע עבירה, הגם שאין על המסייע להיות מודע לכל פרט מפרטי העבירה (פרשת </w:t>
      </w:r>
      <w:r w:rsidRPr="00D8563F">
        <w:rPr>
          <w:rFonts w:cs="Miriam" w:hint="cs"/>
          <w:szCs w:val="19"/>
          <w:rtl/>
        </w:rPr>
        <w:t>פלונית</w:t>
      </w:r>
      <w:r w:rsidR="00D8563F">
        <w:rPr>
          <w:rFonts w:cs="Miriam" w:hint="cs"/>
          <w:szCs w:val="19"/>
          <w:rtl/>
        </w:rPr>
        <w:t xml:space="preserve"> [20]</w:t>
      </w:r>
      <w:r>
        <w:rPr>
          <w:rFonts w:hint="cs"/>
          <w:rtl/>
        </w:rPr>
        <w:t>,</w:t>
      </w:r>
      <w:r w:rsidR="00D8563F">
        <w:rPr>
          <w:rFonts w:hint="cs"/>
          <w:rtl/>
        </w:rPr>
        <w:t xml:space="preserve"> </w:t>
      </w:r>
      <w:r w:rsidR="00D8563F">
        <w:rPr>
          <w:rFonts w:cs="Miriam" w:hint="cs"/>
          <w:szCs w:val="19"/>
          <w:rtl/>
        </w:rPr>
        <w:t>בעמ'</w:t>
      </w:r>
      <w:r w:rsidRPr="00D8563F">
        <w:rPr>
          <w:rFonts w:cs="Miriam" w:hint="cs"/>
          <w:szCs w:val="19"/>
          <w:rtl/>
        </w:rPr>
        <w:t xml:space="preserve"> 32</w:t>
      </w:r>
      <w:r>
        <w:rPr>
          <w:rFonts w:hint="cs"/>
          <w:rtl/>
        </w:rPr>
        <w:t xml:space="preserve">; </w:t>
      </w:r>
      <w:hyperlink r:id="rId208" w:history="1">
        <w:r w:rsidR="004C5B7C" w:rsidRPr="00AD4D63">
          <w:rPr>
            <w:rStyle w:val="Hyperlink"/>
            <w:rFonts w:cs="Miriam" w:hint="eastAsia"/>
            <w:szCs w:val="19"/>
            <w:rtl/>
          </w:rPr>
          <w:t>ע</w:t>
        </w:r>
        <w:r w:rsidR="004C5B7C" w:rsidRPr="00AD4D63">
          <w:rPr>
            <w:rStyle w:val="Hyperlink"/>
            <w:rFonts w:cs="Miriam"/>
            <w:szCs w:val="19"/>
            <w:rtl/>
          </w:rPr>
          <w:t>"פ 7085/93</w:t>
        </w:r>
      </w:hyperlink>
      <w:r w:rsidRPr="00D8563F">
        <w:rPr>
          <w:rFonts w:hint="cs"/>
          <w:rtl/>
        </w:rPr>
        <w:t xml:space="preserve"> </w:t>
      </w:r>
      <w:r w:rsidR="00D8563F">
        <w:rPr>
          <w:rFonts w:cs="Miriam" w:hint="cs"/>
          <w:szCs w:val="19"/>
          <w:rtl/>
        </w:rPr>
        <w:t>הנ"ל [19]</w:t>
      </w:r>
      <w:r>
        <w:rPr>
          <w:rFonts w:hint="cs"/>
          <w:rtl/>
        </w:rPr>
        <w:t>,</w:t>
      </w:r>
      <w:r w:rsidR="00D8563F">
        <w:rPr>
          <w:rFonts w:hint="cs"/>
          <w:rtl/>
        </w:rPr>
        <w:t xml:space="preserve"> </w:t>
      </w:r>
      <w:r w:rsidR="00D8563F">
        <w:rPr>
          <w:rFonts w:cs="Miriam" w:hint="cs"/>
          <w:szCs w:val="19"/>
          <w:rtl/>
        </w:rPr>
        <w:t>בעמ'</w:t>
      </w:r>
      <w:r w:rsidRPr="00D8563F">
        <w:rPr>
          <w:rFonts w:cs="Miriam" w:hint="cs"/>
          <w:szCs w:val="19"/>
          <w:rtl/>
        </w:rPr>
        <w:t xml:space="preserve"> 239</w:t>
      </w:r>
      <w:r>
        <w:rPr>
          <w:rFonts w:hint="cs"/>
          <w:rtl/>
        </w:rPr>
        <w:t xml:space="preserve">; </w:t>
      </w:r>
      <w:hyperlink r:id="rId209" w:history="1">
        <w:r w:rsidR="004C5B7C" w:rsidRPr="00AD4D63">
          <w:rPr>
            <w:rStyle w:val="Hyperlink"/>
            <w:rFonts w:cs="Miriam" w:hint="eastAsia"/>
            <w:szCs w:val="19"/>
            <w:rtl/>
          </w:rPr>
          <w:t>ע</w:t>
        </w:r>
        <w:r w:rsidR="004C5B7C" w:rsidRPr="00AD4D63">
          <w:rPr>
            <w:rStyle w:val="Hyperlink"/>
            <w:rFonts w:cs="Miriam"/>
            <w:szCs w:val="19"/>
            <w:rtl/>
          </w:rPr>
          <w:t>"פ 8710/96</w:t>
        </w:r>
      </w:hyperlink>
      <w:r w:rsidRPr="00D8563F">
        <w:rPr>
          <w:rFonts w:cs="Miriam" w:hint="cs"/>
          <w:szCs w:val="19"/>
          <w:rtl/>
        </w:rPr>
        <w:t xml:space="preserve"> </w:t>
      </w:r>
      <w:r w:rsidR="00D8563F" w:rsidRPr="00D8563F">
        <w:rPr>
          <w:rFonts w:cs="Miriam" w:hint="cs"/>
          <w:szCs w:val="19"/>
          <w:rtl/>
        </w:rPr>
        <w:t>מרקדו</w:t>
      </w:r>
      <w:r w:rsidRPr="00D8563F">
        <w:rPr>
          <w:rFonts w:cs="Miriam" w:hint="cs"/>
          <w:szCs w:val="19"/>
          <w:rtl/>
        </w:rPr>
        <w:t xml:space="preserve"> נ' מדינת ישראל</w:t>
      </w:r>
      <w:r w:rsidR="00D8563F">
        <w:rPr>
          <w:rFonts w:cs="Miriam" w:hint="cs"/>
          <w:szCs w:val="19"/>
          <w:rtl/>
        </w:rPr>
        <w:t xml:space="preserve"> [21]</w:t>
      </w:r>
      <w:r>
        <w:rPr>
          <w:rFonts w:hint="cs"/>
          <w:rtl/>
        </w:rPr>
        <w:t>,</w:t>
      </w:r>
      <w:r w:rsidR="00D8563F">
        <w:rPr>
          <w:rFonts w:hint="cs"/>
          <w:rtl/>
        </w:rPr>
        <w:t xml:space="preserve"> </w:t>
      </w:r>
      <w:r w:rsidR="00D8563F">
        <w:rPr>
          <w:rFonts w:cs="Miriam" w:hint="cs"/>
          <w:szCs w:val="19"/>
          <w:rtl/>
        </w:rPr>
        <w:t>בעמ' 547-546</w:t>
      </w:r>
      <w:r>
        <w:rPr>
          <w:rFonts w:hint="cs"/>
          <w:rtl/>
        </w:rPr>
        <w:t xml:space="preserve">; </w:t>
      </w:r>
      <w:r w:rsidRPr="00D8563F">
        <w:rPr>
          <w:rFonts w:hint="cs"/>
          <w:rtl/>
        </w:rPr>
        <w:t xml:space="preserve">פלר </w:t>
      </w:r>
      <w:r w:rsidR="00D8563F">
        <w:rPr>
          <w:rFonts w:cs="Miriam" w:hint="cs"/>
          <w:szCs w:val="19"/>
          <w:rtl/>
        </w:rPr>
        <w:t>בספרו הנ"ל [</w:t>
      </w:r>
      <w:r w:rsidR="00BA5973">
        <w:rPr>
          <w:rFonts w:cs="Miriam" w:hint="cs"/>
          <w:szCs w:val="19"/>
          <w:rtl/>
        </w:rPr>
        <w:t>28</w:t>
      </w:r>
      <w:r w:rsidR="00D8563F">
        <w:rPr>
          <w:rFonts w:cs="Miriam" w:hint="cs"/>
          <w:szCs w:val="19"/>
          <w:rtl/>
        </w:rPr>
        <w:t>]</w:t>
      </w:r>
      <w:r w:rsidR="00D8563F">
        <w:rPr>
          <w:rFonts w:hint="cs"/>
          <w:rtl/>
        </w:rPr>
        <w:t xml:space="preserve">, </w:t>
      </w:r>
      <w:r w:rsidR="00D8563F" w:rsidRPr="00D8563F">
        <w:rPr>
          <w:rFonts w:cs="Miriam" w:hint="cs"/>
          <w:szCs w:val="19"/>
          <w:rtl/>
        </w:rPr>
        <w:t>ב</w:t>
      </w:r>
      <w:r w:rsidRPr="00D8563F">
        <w:rPr>
          <w:rFonts w:cs="Miriam" w:hint="cs"/>
          <w:szCs w:val="19"/>
          <w:rtl/>
        </w:rPr>
        <w:t>עמ' 260</w:t>
      </w:r>
      <w:r>
        <w:rPr>
          <w:rFonts w:hint="cs"/>
          <w:rtl/>
        </w:rPr>
        <w:t xml:space="preserve">). הנדבך השני דורש כי במסייע תתקיים המטרה או התכלית לסייע לעבריין העיקרי (ראו: פרשת </w:t>
      </w:r>
      <w:r w:rsidRPr="00D8563F">
        <w:rPr>
          <w:rFonts w:cs="Miriam" w:hint="cs"/>
          <w:szCs w:val="19"/>
          <w:rtl/>
        </w:rPr>
        <w:t>פלונית</w:t>
      </w:r>
      <w:r w:rsidR="00C96A60">
        <w:rPr>
          <w:rFonts w:cs="Miriam" w:hint="cs"/>
          <w:szCs w:val="19"/>
          <w:rtl/>
        </w:rPr>
        <w:t xml:space="preserve"> [20]</w:t>
      </w:r>
      <w:r>
        <w:rPr>
          <w:rFonts w:hint="cs"/>
          <w:rtl/>
        </w:rPr>
        <w:t>,</w:t>
      </w:r>
      <w:r w:rsidR="00C96A60">
        <w:rPr>
          <w:rFonts w:hint="cs"/>
          <w:rtl/>
        </w:rPr>
        <w:t xml:space="preserve"> </w:t>
      </w:r>
      <w:r w:rsidR="00C96A60">
        <w:rPr>
          <w:rFonts w:cs="Miriam" w:hint="cs"/>
          <w:szCs w:val="19"/>
          <w:rtl/>
        </w:rPr>
        <w:t>בעמ'</w:t>
      </w:r>
      <w:r>
        <w:rPr>
          <w:rFonts w:hint="cs"/>
          <w:rtl/>
        </w:rPr>
        <w:t xml:space="preserve"> </w:t>
      </w:r>
      <w:r w:rsidR="00C96A60">
        <w:rPr>
          <w:rFonts w:cs="Miriam" w:hint="cs"/>
          <w:szCs w:val="19"/>
          <w:rtl/>
        </w:rPr>
        <w:t>35-32</w:t>
      </w:r>
      <w:r>
        <w:rPr>
          <w:rFonts w:hint="cs"/>
          <w:rtl/>
        </w:rPr>
        <w:t xml:space="preserve">; </w:t>
      </w:r>
      <w:hyperlink r:id="rId210" w:history="1">
        <w:r w:rsidR="004C5B7C" w:rsidRPr="00AD4D63">
          <w:rPr>
            <w:rStyle w:val="Hyperlink"/>
            <w:rFonts w:cs="Miriam" w:hint="eastAsia"/>
            <w:szCs w:val="19"/>
            <w:rtl/>
          </w:rPr>
          <w:t>ע</w:t>
        </w:r>
        <w:r w:rsidR="004C5B7C" w:rsidRPr="00AD4D63">
          <w:rPr>
            <w:rStyle w:val="Hyperlink"/>
            <w:rFonts w:cs="Miriam"/>
            <w:szCs w:val="19"/>
            <w:rtl/>
          </w:rPr>
          <w:t>"פ 11131/02</w:t>
        </w:r>
      </w:hyperlink>
      <w:r w:rsidRPr="00C96A60">
        <w:rPr>
          <w:rFonts w:cs="Miriam" w:hint="cs"/>
          <w:szCs w:val="19"/>
          <w:rtl/>
        </w:rPr>
        <w:t xml:space="preserve"> יוסופוב נ' מדינת ישראל</w:t>
      </w:r>
      <w:r>
        <w:rPr>
          <w:rFonts w:hint="cs"/>
          <w:rtl/>
        </w:rPr>
        <w:t xml:space="preserve"> ( להלן</w:t>
      </w:r>
      <w:r w:rsidR="00C96A60">
        <w:rPr>
          <w:rFonts w:hint="cs"/>
          <w:rtl/>
        </w:rPr>
        <w:t xml:space="preserve"> –</w:t>
      </w:r>
      <w:r>
        <w:rPr>
          <w:rFonts w:hint="cs"/>
          <w:rtl/>
        </w:rPr>
        <w:t xml:space="preserve"> פרשת </w:t>
      </w:r>
      <w:r w:rsidRPr="00C96A60">
        <w:rPr>
          <w:rFonts w:cs="Miriam" w:hint="cs"/>
          <w:szCs w:val="19"/>
          <w:rtl/>
        </w:rPr>
        <w:t>יוסופוב</w:t>
      </w:r>
      <w:r w:rsidR="00C96A60">
        <w:rPr>
          <w:rFonts w:cs="Miriam" w:hint="cs"/>
          <w:szCs w:val="19"/>
          <w:rtl/>
        </w:rPr>
        <w:t xml:space="preserve"> [22]</w:t>
      </w:r>
      <w:r>
        <w:rPr>
          <w:rFonts w:hint="cs"/>
          <w:rtl/>
        </w:rPr>
        <w:t>)</w:t>
      </w:r>
      <w:r w:rsidR="00C96A60">
        <w:rPr>
          <w:rFonts w:hint="cs"/>
          <w:rtl/>
        </w:rPr>
        <w:t xml:space="preserve">, </w:t>
      </w:r>
      <w:r w:rsidR="00C96A60">
        <w:rPr>
          <w:rFonts w:cs="Miriam" w:hint="cs"/>
          <w:szCs w:val="19"/>
          <w:rtl/>
        </w:rPr>
        <w:t>בעמ'</w:t>
      </w:r>
      <w:r w:rsidR="00C96A60" w:rsidRPr="00C96A60">
        <w:rPr>
          <w:rFonts w:cs="Miriam" w:hint="cs"/>
          <w:szCs w:val="19"/>
          <w:rtl/>
        </w:rPr>
        <w:t xml:space="preserve"> 924</w:t>
      </w:r>
      <w:r w:rsidR="00C96A60">
        <w:rPr>
          <w:rFonts w:hint="cs"/>
          <w:rtl/>
        </w:rPr>
        <w:t>)</w:t>
      </w:r>
      <w:r>
        <w:rPr>
          <w:rFonts w:hint="cs"/>
          <w:rtl/>
        </w:rPr>
        <w:t>. לעניין זה יפים דבריו של פרופ' פלר:</w:t>
      </w:r>
    </w:p>
    <w:p w:rsidR="00D35634" w:rsidRDefault="006A180F" w:rsidP="00C96A60">
      <w:pPr>
        <w:pStyle w:val="a4"/>
        <w:rPr>
          <w:rtl/>
        </w:rPr>
      </w:pPr>
      <w:r>
        <w:rPr>
          <w:rFonts w:hint="cs"/>
          <w:rtl/>
        </w:rPr>
        <w:t xml:space="preserve">"השתלבות כאמור של המחשבה הפלילית ברכיבי היסוד העובדתי שבסיוע לדבר עבירה מגלה מחשבה פלילית מיוחדת במטרה מסויימת </w:t>
      </w:r>
      <w:r w:rsidR="00C96A60">
        <w:rPr>
          <w:rFonts w:hint="eastAsia"/>
          <w:rtl/>
        </w:rPr>
        <w:t>–</w:t>
      </w:r>
      <w:r>
        <w:rPr>
          <w:rFonts w:hint="cs"/>
          <w:rtl/>
        </w:rPr>
        <w:t xml:space="preserve"> להשתתף באירוע העברייני כשותף עקיף בו... מטרתו של המסייע היא אך ורק לעזור לאחר, כדי שהוא יבצע באורח ישיר את העבירה. הניתוח של השתלבות </w:t>
      </w:r>
    </w:p>
    <w:p w:rsidR="006A180F" w:rsidRDefault="00D35634" w:rsidP="00C96A60">
      <w:pPr>
        <w:pStyle w:val="a4"/>
        <w:rPr>
          <w:rFonts w:hint="cs"/>
          <w:rtl/>
        </w:rPr>
      </w:pPr>
      <w:r>
        <w:rPr>
          <w:rtl/>
        </w:rPr>
        <w:br w:type="page"/>
      </w:r>
      <w:r w:rsidR="006A180F">
        <w:rPr>
          <w:rFonts w:hint="cs"/>
          <w:rtl/>
        </w:rPr>
        <w:t>המחשבה הפלילית של מסייע ביסוד העובדתי של הסיוע המוגש על</w:t>
      </w:r>
      <w:r w:rsidR="006A180F" w:rsidRPr="00D802CA">
        <w:rPr>
          <w:rFonts w:hint="cs"/>
          <w:position w:val="4"/>
          <w:rtl/>
        </w:rPr>
        <w:t>-</w:t>
      </w:r>
      <w:r w:rsidR="006A180F">
        <w:rPr>
          <w:rFonts w:hint="cs"/>
          <w:rtl/>
        </w:rPr>
        <w:t xml:space="preserve">ידיו למבצע העיקרי, על כל אפיוניו של הרכיב ההתנהגותי שלו, ועל כל הנסיבות הדרושות להתהוותו, אכן, מגלה את המטרה לסייע, ולסייע בלבד, </w:t>
      </w:r>
      <w:r w:rsidR="006A180F">
        <w:t>animus socii</w:t>
      </w:r>
      <w:r w:rsidR="006A180F">
        <w:rPr>
          <w:rFonts w:hint="cs"/>
          <w:rtl/>
        </w:rPr>
        <w:t xml:space="preserve"> ולא גם לבצע, </w:t>
      </w:r>
      <w:r w:rsidR="006A180F">
        <w:t>animus auctoris</w:t>
      </w:r>
      <w:r w:rsidR="006A180F">
        <w:rPr>
          <w:rFonts w:hint="cs"/>
          <w:rtl/>
        </w:rPr>
        <w:t xml:space="preserve">. הביצוע ממנו והלאה" (ראו </w:t>
      </w:r>
      <w:r w:rsidR="00C96A60">
        <w:rPr>
          <w:rFonts w:hint="cs"/>
          <w:rtl/>
        </w:rPr>
        <w:t xml:space="preserve">פלר </w:t>
      </w:r>
      <w:r w:rsidR="006A180F" w:rsidRPr="00C96A60">
        <w:rPr>
          <w:rFonts w:cs="Miriam" w:hint="cs"/>
          <w:szCs w:val="19"/>
          <w:rtl/>
        </w:rPr>
        <w:t>בספרו</w:t>
      </w:r>
      <w:r w:rsidR="00C96A60">
        <w:rPr>
          <w:rFonts w:hint="cs"/>
          <w:rtl/>
        </w:rPr>
        <w:t xml:space="preserve"> </w:t>
      </w:r>
      <w:r w:rsidR="00C96A60" w:rsidRPr="00C96A60">
        <w:rPr>
          <w:rFonts w:cs="Miriam" w:hint="cs"/>
          <w:szCs w:val="19"/>
          <w:rtl/>
        </w:rPr>
        <w:t>הנ"ל</w:t>
      </w:r>
      <w:r w:rsidR="00C96A60">
        <w:rPr>
          <w:rFonts w:hint="cs"/>
          <w:rtl/>
        </w:rPr>
        <w:t xml:space="preserve"> </w:t>
      </w:r>
      <w:r w:rsidR="00C96A60" w:rsidRPr="00C96A60">
        <w:rPr>
          <w:rFonts w:cs="Miriam" w:hint="cs"/>
          <w:szCs w:val="19"/>
          <w:rtl/>
        </w:rPr>
        <w:t>[</w:t>
      </w:r>
      <w:r w:rsidR="00BA5973">
        <w:rPr>
          <w:rFonts w:cs="Miriam" w:hint="cs"/>
          <w:szCs w:val="19"/>
          <w:rtl/>
        </w:rPr>
        <w:t>28</w:t>
      </w:r>
      <w:r w:rsidR="00C96A60" w:rsidRPr="00C96A60">
        <w:rPr>
          <w:rFonts w:cs="Miriam" w:hint="cs"/>
          <w:szCs w:val="19"/>
          <w:rtl/>
        </w:rPr>
        <w:t>]</w:t>
      </w:r>
      <w:r w:rsidR="006A180F">
        <w:rPr>
          <w:rFonts w:hint="cs"/>
          <w:rtl/>
        </w:rPr>
        <w:t xml:space="preserve">, </w:t>
      </w:r>
      <w:r w:rsidR="006A180F" w:rsidRPr="00C96A60">
        <w:rPr>
          <w:rFonts w:cs="Miriam" w:hint="cs"/>
          <w:szCs w:val="19"/>
          <w:rtl/>
        </w:rPr>
        <w:t>בעמ' 261-260</w:t>
      </w:r>
      <w:r w:rsidR="006A180F">
        <w:rPr>
          <w:rFonts w:hint="cs"/>
          <w:rtl/>
        </w:rPr>
        <w:t>).</w:t>
      </w:r>
    </w:p>
    <w:p w:rsidR="006A180F" w:rsidRDefault="006A180F" w:rsidP="00D802CA">
      <w:pPr>
        <w:pStyle w:val="a"/>
        <w:rPr>
          <w:rFonts w:hint="cs"/>
          <w:rtl/>
        </w:rPr>
      </w:pPr>
      <w:r>
        <w:rPr>
          <w:rFonts w:hint="cs"/>
          <w:rtl/>
        </w:rPr>
        <w:t>נסכם ונאמר כי הדרישה ליסוד הנפשי באה על סיפוקה בעצם מודעותו של המסייע לטיב התנהגותו</w:t>
      </w:r>
      <w:r w:rsidR="00D802CA">
        <w:rPr>
          <w:rFonts w:hint="cs"/>
          <w:rtl/>
        </w:rPr>
        <w:t xml:space="preserve"> ו</w:t>
      </w:r>
      <w:r>
        <w:rPr>
          <w:rFonts w:hint="cs"/>
          <w:rtl/>
        </w:rPr>
        <w:t xml:space="preserve">לנסיבות, ובמטרתו להגיש עזרה למבצע העיקרי. אוסיף כי גם אם המטרה לא עמדה לנגד עיניו של המסייע, הרי שדי במודעות לכך שהתנהגותו עשויה, ברמת הסתברות של ודאות קרובה, להיות אמצעי עזר למבצע העיקרי. מודעות מסוג זה שקולה כנגד המטרה לסייע הנדרשת בהוראת הסיוע (פרשת </w:t>
      </w:r>
      <w:r w:rsidRPr="00C96A60">
        <w:rPr>
          <w:rFonts w:cs="Miriam" w:hint="cs"/>
          <w:szCs w:val="19"/>
          <w:rtl/>
        </w:rPr>
        <w:t>פלונית</w:t>
      </w:r>
      <w:r w:rsidR="00C96A60">
        <w:rPr>
          <w:rFonts w:cs="Miriam" w:hint="cs"/>
          <w:szCs w:val="19"/>
          <w:rtl/>
        </w:rPr>
        <w:t xml:space="preserve"> [20]</w:t>
      </w:r>
      <w:r w:rsidRPr="00C96A60">
        <w:rPr>
          <w:rFonts w:hint="cs"/>
          <w:rtl/>
        </w:rPr>
        <w:t>,</w:t>
      </w:r>
      <w:r w:rsidR="00C96A60">
        <w:rPr>
          <w:rFonts w:hint="cs"/>
          <w:rtl/>
        </w:rPr>
        <w:t xml:space="preserve"> </w:t>
      </w:r>
      <w:r w:rsidR="00C96A60">
        <w:rPr>
          <w:rFonts w:cs="Miriam" w:hint="cs"/>
          <w:szCs w:val="19"/>
          <w:rtl/>
        </w:rPr>
        <w:t>בעמ'</w:t>
      </w:r>
      <w:r w:rsidRPr="00C96A60">
        <w:rPr>
          <w:rFonts w:cs="Miriam" w:hint="cs"/>
          <w:szCs w:val="19"/>
          <w:rtl/>
        </w:rPr>
        <w:t xml:space="preserve"> 35</w:t>
      </w:r>
      <w:r>
        <w:rPr>
          <w:rFonts w:hint="cs"/>
          <w:rtl/>
        </w:rPr>
        <w:t xml:space="preserve">; פרשת </w:t>
      </w:r>
      <w:r w:rsidRPr="00C96A60">
        <w:rPr>
          <w:rFonts w:cs="Miriam" w:hint="cs"/>
          <w:szCs w:val="19"/>
          <w:rtl/>
        </w:rPr>
        <w:t>יוספוב</w:t>
      </w:r>
      <w:r w:rsidR="00C96A60">
        <w:rPr>
          <w:rFonts w:cs="Miriam" w:hint="cs"/>
          <w:szCs w:val="19"/>
          <w:rtl/>
        </w:rPr>
        <w:t xml:space="preserve"> [22]</w:t>
      </w:r>
      <w:r>
        <w:rPr>
          <w:rFonts w:hint="cs"/>
          <w:rtl/>
        </w:rPr>
        <w:t>; וכן</w:t>
      </w:r>
      <w:r w:rsidR="00C96A60">
        <w:rPr>
          <w:rFonts w:hint="cs"/>
          <w:rtl/>
        </w:rPr>
        <w:t xml:space="preserve"> פלר </w:t>
      </w:r>
      <w:r w:rsidR="00C96A60" w:rsidRPr="00C96A60">
        <w:rPr>
          <w:rFonts w:cs="Miriam" w:hint="cs"/>
          <w:szCs w:val="19"/>
          <w:rtl/>
        </w:rPr>
        <w:t>בספרו הנ"ל [</w:t>
      </w:r>
      <w:r w:rsidR="00BA5973">
        <w:rPr>
          <w:rFonts w:cs="Miriam" w:hint="cs"/>
          <w:szCs w:val="19"/>
          <w:rtl/>
        </w:rPr>
        <w:t>28</w:t>
      </w:r>
      <w:r w:rsidR="00C96A60" w:rsidRPr="00C96A60">
        <w:rPr>
          <w:rFonts w:cs="Miriam" w:hint="cs"/>
          <w:szCs w:val="19"/>
          <w:rtl/>
        </w:rPr>
        <w:t>]</w:t>
      </w:r>
      <w:r w:rsidRPr="00C96A60">
        <w:rPr>
          <w:rFonts w:hint="cs"/>
          <w:rtl/>
        </w:rPr>
        <w:t xml:space="preserve">, </w:t>
      </w:r>
      <w:r w:rsidRPr="00C96A60">
        <w:rPr>
          <w:rFonts w:cs="Miriam" w:hint="cs"/>
          <w:szCs w:val="19"/>
          <w:rtl/>
        </w:rPr>
        <w:t>בעמ' 264</w:t>
      </w:r>
      <w:r>
        <w:rPr>
          <w:rFonts w:hint="cs"/>
          <w:rtl/>
        </w:rPr>
        <w:t xml:space="preserve">). </w:t>
      </w:r>
      <w:r>
        <w:rPr>
          <w:rFonts w:hint="cs"/>
          <w:rtl/>
        </w:rPr>
        <w:tab/>
        <w:t xml:space="preserve"> </w:t>
      </w:r>
    </w:p>
    <w:p w:rsidR="006A180F" w:rsidRPr="005D40E8" w:rsidRDefault="006A180F" w:rsidP="005D40E8">
      <w:pPr>
        <w:pStyle w:val="a"/>
        <w:rPr>
          <w:rFonts w:cs="Miriam" w:hint="cs"/>
          <w:szCs w:val="19"/>
          <w:rtl/>
        </w:rPr>
      </w:pPr>
      <w:r w:rsidRPr="005D40E8">
        <w:rPr>
          <w:rFonts w:cs="Miriam" w:hint="cs"/>
          <w:szCs w:val="19"/>
          <w:rtl/>
        </w:rPr>
        <w:t xml:space="preserve">מן הכלל אל הפרט </w:t>
      </w:r>
    </w:p>
    <w:p w:rsidR="006A180F" w:rsidRPr="004835A6" w:rsidRDefault="006A180F" w:rsidP="006A180F">
      <w:pPr>
        <w:pStyle w:val="a"/>
        <w:rPr>
          <w:rFonts w:hint="cs"/>
          <w:rtl/>
        </w:rPr>
      </w:pPr>
      <w:r w:rsidRPr="004835A6">
        <w:rPr>
          <w:rFonts w:hint="cs"/>
          <w:sz w:val="24"/>
          <w:rtl/>
        </w:rPr>
        <w:t>32.</w:t>
      </w:r>
      <w:r w:rsidRPr="004835A6">
        <w:rPr>
          <w:rFonts w:hint="cs"/>
          <w:sz w:val="24"/>
          <w:rtl/>
        </w:rPr>
        <w:tab/>
      </w:r>
      <w:r w:rsidRPr="004835A6">
        <w:rPr>
          <w:rFonts w:hint="cs"/>
          <w:rtl/>
        </w:rPr>
        <w:t>לשיטתי,</w:t>
      </w:r>
      <w:r w:rsidRPr="004835A6">
        <w:rPr>
          <w:rFonts w:hint="cs"/>
          <w:sz w:val="24"/>
          <w:rtl/>
        </w:rPr>
        <w:t xml:space="preserve"> </w:t>
      </w:r>
      <w:r w:rsidRPr="004835A6">
        <w:rPr>
          <w:rFonts w:hint="cs"/>
          <w:rtl/>
        </w:rPr>
        <w:t>לא ניתן</w:t>
      </w:r>
      <w:r w:rsidRPr="004835A6">
        <w:rPr>
          <w:rFonts w:hint="cs"/>
          <w:sz w:val="24"/>
          <w:rtl/>
        </w:rPr>
        <w:t xml:space="preserve"> </w:t>
      </w:r>
      <w:r w:rsidRPr="004835A6">
        <w:rPr>
          <w:rFonts w:hint="cs"/>
          <w:rtl/>
        </w:rPr>
        <w:t xml:space="preserve">לחלוק כי נתקיימו במשיב 3 יסודותיה של עבירת הסיוע, ונראה כי גם בית משפט קמא לא </w:t>
      </w:r>
      <w:r>
        <w:rPr>
          <w:rFonts w:hint="cs"/>
          <w:rtl/>
        </w:rPr>
        <w:t>סבר אחרת</w:t>
      </w:r>
      <w:r w:rsidRPr="004835A6">
        <w:rPr>
          <w:rFonts w:hint="cs"/>
          <w:rtl/>
        </w:rPr>
        <w:t>. לטעמי, אין כל ספק כי בהתנהגותו תרם אופיר לב</w:t>
      </w:r>
      <w:r>
        <w:rPr>
          <w:rFonts w:hint="cs"/>
          <w:rtl/>
        </w:rPr>
        <w:t>י</w:t>
      </w:r>
      <w:r w:rsidRPr="004835A6">
        <w:rPr>
          <w:rFonts w:hint="cs"/>
          <w:rtl/>
        </w:rPr>
        <w:t>צועה של העבירה. אכן,</w:t>
      </w:r>
      <w:r>
        <w:rPr>
          <w:rFonts w:hint="cs"/>
          <w:rtl/>
        </w:rPr>
        <w:t xml:space="preserve"> תוכנו של</w:t>
      </w:r>
      <w:r w:rsidRPr="004835A6">
        <w:rPr>
          <w:rFonts w:hint="cs"/>
          <w:rtl/>
        </w:rPr>
        <w:t xml:space="preserve"> שטר הבוררין נקבע על ידי הצדדים טרם הובא בפניו, אולם הייתה זו רק ראשית הדרך, ובהמשכה נטל אופיר לידיו ערבויות שנועדו להבטיח את התחייבותם של הצדדים, ואף נתן את פסק הבוררות </w:t>
      </w:r>
      <w:r>
        <w:rPr>
          <w:rFonts w:hint="cs"/>
          <w:rtl/>
        </w:rPr>
        <w:t>ש</w:t>
      </w:r>
      <w:r w:rsidRPr="004835A6">
        <w:rPr>
          <w:rFonts w:hint="cs"/>
          <w:rtl/>
        </w:rPr>
        <w:t>בו שחרר את אריאל מערבותה ופסק את חובה של מנורה לאריאל. באשר לקיומו של היסוד הנפשי נקבע בהכרעת דינו של בית המשפט המחוזי</w:t>
      </w:r>
      <w:r>
        <w:rPr>
          <w:rFonts w:hint="cs"/>
          <w:rtl/>
        </w:rPr>
        <w:t>,</w:t>
      </w:r>
      <w:r w:rsidRPr="004835A6">
        <w:rPr>
          <w:rFonts w:hint="cs"/>
          <w:rtl/>
        </w:rPr>
        <w:t xml:space="preserve"> כי:</w:t>
      </w:r>
    </w:p>
    <w:p w:rsidR="00C96A60" w:rsidRDefault="006A180F" w:rsidP="00C96A60">
      <w:pPr>
        <w:pStyle w:val="a4"/>
        <w:spacing w:after="120"/>
        <w:rPr>
          <w:rFonts w:hint="cs"/>
          <w:rtl/>
        </w:rPr>
      </w:pPr>
      <w:r>
        <w:rPr>
          <w:rFonts w:hint="cs"/>
          <w:rtl/>
        </w:rPr>
        <w:t>"</w:t>
      </w:r>
      <w:r w:rsidR="00C96A60">
        <w:rPr>
          <w:rFonts w:hint="cs"/>
          <w:rtl/>
        </w:rPr>
        <w:t>...</w:t>
      </w:r>
      <w:r>
        <w:rPr>
          <w:rFonts w:hint="cs"/>
          <w:rtl/>
        </w:rPr>
        <w:t xml:space="preserve">גם אם בישיבת הבוררות לא הובהרה לנאשם 7 </w:t>
      </w:r>
      <w:r w:rsidRPr="00164658">
        <w:rPr>
          <w:rFonts w:hint="cs"/>
          <w:sz w:val="24"/>
          <w:rtl/>
        </w:rPr>
        <w:t>[</w:t>
      </w:r>
      <w:r w:rsidRPr="00C96A60">
        <w:rPr>
          <w:rFonts w:hint="cs"/>
          <w:rtl/>
        </w:rPr>
        <w:t>אופיר</w:t>
      </w:r>
      <w:r w:rsidR="00C96A60">
        <w:rPr>
          <w:rFonts w:hint="cs"/>
          <w:rtl/>
        </w:rPr>
        <w:t xml:space="preserve"> – א' א' ל'</w:t>
      </w:r>
      <w:r>
        <w:rPr>
          <w:rFonts w:hint="cs"/>
          <w:sz w:val="24"/>
          <w:rtl/>
        </w:rPr>
        <w:t>]</w:t>
      </w:r>
      <w:r>
        <w:rPr>
          <w:rFonts w:hint="cs"/>
          <w:rtl/>
        </w:rPr>
        <w:t xml:space="preserve"> התמונה במלואה, וגם אם סבירה האפשרות שהוא לא בחן בעיון את שטר הבוררין בעת שנוהלה ישיבת הבוררות, קשה להלום אפשרות שלא ספג את כלל הפרטים הנוגעים לעניין... אין </w:t>
      </w:r>
      <w:r w:rsidR="00C96A60">
        <w:rPr>
          <w:rFonts w:hint="cs"/>
          <w:rtl/>
        </w:rPr>
        <w:t xml:space="preserve">זה </w:t>
      </w:r>
      <w:r>
        <w:rPr>
          <w:rFonts w:hint="cs"/>
          <w:rtl/>
        </w:rPr>
        <w:t>מתקבל על הדעת שהוא לא למד את הפרטים העיקריים בטרם קיבל את החלטותיו בעניינים אלו, ובכללם דבר התחייבות אריאל שלא להתקשר עם עיריית חיפה. מהראיות עולה כי תפקיד הבורר נמסר לו בהיותו איש עסקים רציני ואמין. בנסיבות אלו קשה להשתכנע שהוא ראה לנכון לזלזל בתפקיד שקיבל על עצמו, וההין לתת את פסק הבורר מבלי שהכיר את יסודות ההסכם. התייחסות נאותה לתפקיד חייבה הכרת עקרונות אלו, ובכללם ההוראה הנוגעת להתקשרות עם עיריית חיפה...</w:t>
      </w:r>
    </w:p>
    <w:p w:rsidR="006A180F" w:rsidRDefault="00D35634" w:rsidP="00BA5973">
      <w:pPr>
        <w:pStyle w:val="a4"/>
        <w:rPr>
          <w:rFonts w:hint="cs"/>
          <w:rtl/>
        </w:rPr>
      </w:pPr>
      <w:r>
        <w:rPr>
          <w:spacing w:val="-2"/>
          <w:rtl/>
        </w:rPr>
        <w:br w:type="page"/>
      </w:r>
      <w:r w:rsidR="006A180F" w:rsidRPr="00BA5973">
        <w:rPr>
          <w:rFonts w:hint="cs"/>
          <w:spacing w:val="-2"/>
          <w:rtl/>
        </w:rPr>
        <w:t>שיקולים אלו מביאים למסקנה שנאשם 7 [אופיר</w:t>
      </w:r>
      <w:r w:rsidR="00C96A60" w:rsidRPr="00BA5973">
        <w:rPr>
          <w:rFonts w:hint="cs"/>
          <w:spacing w:val="-2"/>
          <w:rtl/>
        </w:rPr>
        <w:t xml:space="preserve"> – א' א' ל'</w:t>
      </w:r>
      <w:r w:rsidR="006A180F" w:rsidRPr="00BA5973">
        <w:rPr>
          <w:rFonts w:hint="cs"/>
          <w:spacing w:val="-2"/>
          <w:rtl/>
        </w:rPr>
        <w:t xml:space="preserve">] </w:t>
      </w:r>
      <w:r w:rsidR="006A180F" w:rsidRPr="00BA5973">
        <w:rPr>
          <w:rFonts w:cs="Miriam" w:hint="cs"/>
          <w:spacing w:val="-2"/>
          <w:szCs w:val="19"/>
          <w:rtl/>
        </w:rPr>
        <w:t>היה מודע לתוכן ההסכם בין הצדדים לבוררות</w:t>
      </w:r>
      <w:r w:rsidR="006A180F" w:rsidRPr="00BA5973">
        <w:rPr>
          <w:rFonts w:hint="cs"/>
          <w:spacing w:val="-2"/>
          <w:rtl/>
        </w:rPr>
        <w:t>" (</w:t>
      </w:r>
      <w:hyperlink r:id="rId211" w:history="1">
        <w:r w:rsidR="004C5B7C" w:rsidRPr="004C5B7C">
          <w:rPr>
            <w:rStyle w:val="Hyperlink"/>
            <w:rFonts w:cs="Miriam" w:hint="eastAsia"/>
            <w:spacing w:val="-2"/>
            <w:szCs w:val="19"/>
            <w:rtl/>
          </w:rPr>
          <w:t>ת</w:t>
        </w:r>
        <w:r w:rsidR="004C5B7C" w:rsidRPr="004C5B7C">
          <w:rPr>
            <w:rStyle w:val="Hyperlink"/>
            <w:rFonts w:cs="Miriam"/>
            <w:spacing w:val="-2"/>
            <w:szCs w:val="19"/>
            <w:rtl/>
          </w:rPr>
          <w:t>"פ (י-ם) 287/98</w:t>
        </w:r>
      </w:hyperlink>
      <w:r w:rsidR="00C96A60" w:rsidRPr="00BA5973">
        <w:rPr>
          <w:rFonts w:cs="Miriam" w:hint="cs"/>
          <w:spacing w:val="-2"/>
          <w:szCs w:val="19"/>
          <w:rtl/>
        </w:rPr>
        <w:t xml:space="preserve"> הנ"ל [</w:t>
      </w:r>
      <w:r w:rsidR="00BA5973" w:rsidRPr="00BA5973">
        <w:rPr>
          <w:rFonts w:cs="Miriam" w:hint="cs"/>
          <w:spacing w:val="-2"/>
          <w:szCs w:val="19"/>
          <w:rtl/>
        </w:rPr>
        <w:t>25</w:t>
      </w:r>
      <w:r w:rsidR="00C96A60" w:rsidRPr="00BA5973">
        <w:rPr>
          <w:rFonts w:cs="Miriam" w:hint="cs"/>
          <w:spacing w:val="-2"/>
          <w:szCs w:val="19"/>
          <w:rtl/>
        </w:rPr>
        <w:t>]</w:t>
      </w:r>
      <w:r w:rsidR="00C96A60" w:rsidRPr="00BA5973">
        <w:rPr>
          <w:rFonts w:hint="cs"/>
          <w:spacing w:val="-2"/>
          <w:rtl/>
        </w:rPr>
        <w:t xml:space="preserve">, </w:t>
      </w:r>
      <w:r w:rsidR="00C96A60" w:rsidRPr="00BA5973">
        <w:rPr>
          <w:rFonts w:cs="Miriam" w:hint="cs"/>
          <w:spacing w:val="-2"/>
          <w:szCs w:val="19"/>
          <w:rtl/>
        </w:rPr>
        <w:t>בעמ' 298-297</w:t>
      </w:r>
      <w:r w:rsidR="00C96A60">
        <w:rPr>
          <w:rFonts w:hint="cs"/>
          <w:rtl/>
        </w:rPr>
        <w:t>; ההדגשה שלי – א' א' ל'</w:t>
      </w:r>
      <w:r w:rsidR="006A180F">
        <w:rPr>
          <w:rFonts w:hint="cs"/>
          <w:rtl/>
        </w:rPr>
        <w:t>).</w:t>
      </w:r>
    </w:p>
    <w:p w:rsidR="006A180F" w:rsidRDefault="006A180F" w:rsidP="00C96A60">
      <w:pPr>
        <w:pStyle w:val="a"/>
        <w:rPr>
          <w:rFonts w:hint="cs"/>
          <w:rtl/>
        </w:rPr>
      </w:pPr>
      <w:r>
        <w:rPr>
          <w:rFonts w:hint="cs"/>
          <w:rtl/>
        </w:rPr>
        <w:t>ועוד נאמר בהכרעת הדין:</w:t>
      </w:r>
    </w:p>
    <w:p w:rsidR="006A180F" w:rsidRDefault="006A180F" w:rsidP="00DC2155">
      <w:pPr>
        <w:pStyle w:val="a4"/>
        <w:rPr>
          <w:rFonts w:hint="cs"/>
          <w:rtl/>
        </w:rPr>
      </w:pPr>
      <w:r>
        <w:rPr>
          <w:rFonts w:hint="cs"/>
          <w:rtl/>
        </w:rPr>
        <w:t>"</w:t>
      </w:r>
      <w:r w:rsidR="00DC2155">
        <w:rPr>
          <w:rFonts w:hint="cs"/>
          <w:rtl/>
        </w:rPr>
        <w:t>...</w:t>
      </w:r>
      <w:r>
        <w:rPr>
          <w:rFonts w:hint="cs"/>
          <w:rtl/>
        </w:rPr>
        <w:t>יש מקום לייחס לנאשם 7 [אופיר</w:t>
      </w:r>
      <w:r w:rsidR="00DC2155">
        <w:rPr>
          <w:rFonts w:hint="cs"/>
          <w:rtl/>
        </w:rPr>
        <w:t xml:space="preserve"> – א' א' ל'</w:t>
      </w:r>
      <w:r>
        <w:rPr>
          <w:rFonts w:hint="cs"/>
          <w:rtl/>
        </w:rPr>
        <w:t xml:space="preserve">] חפץ </w:t>
      </w:r>
      <w:r w:rsidR="00DC2155">
        <w:rPr>
          <w:rFonts w:hint="cs"/>
          <w:rtl/>
        </w:rPr>
        <w:t>'</w:t>
      </w:r>
      <w:r>
        <w:rPr>
          <w:rFonts w:hint="cs"/>
          <w:rtl/>
        </w:rPr>
        <w:t>לתמוך' בהסכם הספציפי אליו הגיעו הצדדים, בגדר רצונו לפתור את הסכסוך שביניהם על בסיס אותו הסכם. הסכם זה, על פניו, היה נגוע באי</w:t>
      </w:r>
      <w:r w:rsidRPr="00DC2155">
        <w:rPr>
          <w:rFonts w:hint="cs"/>
          <w:position w:val="4"/>
          <w:rtl/>
        </w:rPr>
        <w:t>-</w:t>
      </w:r>
      <w:r>
        <w:rPr>
          <w:rFonts w:hint="cs"/>
          <w:rtl/>
        </w:rPr>
        <w:t>חוקיות. משמע לא ניתן 'לנקות' את נאשם 7 מהמטרה לבסס בין הצדדים לבוררות את ההסכמה המנוגדת לחוק" (</w:t>
      </w:r>
      <w:r w:rsidR="00DC2155" w:rsidRPr="00DC2155">
        <w:rPr>
          <w:rFonts w:cs="Miriam" w:hint="cs"/>
          <w:szCs w:val="19"/>
          <w:rtl/>
        </w:rPr>
        <w:t>שם</w:t>
      </w:r>
      <w:r w:rsidR="00DC2155">
        <w:rPr>
          <w:rFonts w:hint="cs"/>
          <w:rtl/>
        </w:rPr>
        <w:t xml:space="preserve">, </w:t>
      </w:r>
      <w:r w:rsidR="00DC2155" w:rsidRPr="00DC2155">
        <w:rPr>
          <w:rFonts w:cs="Miriam" w:hint="cs"/>
          <w:szCs w:val="19"/>
          <w:rtl/>
        </w:rPr>
        <w:t>בעמ' 301</w:t>
      </w:r>
      <w:r>
        <w:rPr>
          <w:rFonts w:hint="cs"/>
          <w:rtl/>
        </w:rPr>
        <w:t>).</w:t>
      </w:r>
    </w:p>
    <w:p w:rsidR="006A180F" w:rsidRPr="00D63FD8" w:rsidRDefault="006A180F" w:rsidP="006A180F">
      <w:pPr>
        <w:pStyle w:val="a"/>
        <w:rPr>
          <w:rFonts w:hint="cs"/>
          <w:rtl/>
        </w:rPr>
      </w:pPr>
      <w:r w:rsidRPr="00D63FD8">
        <w:rPr>
          <w:rFonts w:hint="cs"/>
          <w:rtl/>
        </w:rPr>
        <w:t>מודעותו של אופיר הן לטיבו של המעשה והן לנסיבותיו עולה בבירור מן העובדות כפי שתוארו על ידי בית משפט קמא. באשר ליסוד המטרה דומני כי גם יסוד זה נתמלא במלואו. אכן, נראה שמטרתו הראשונית</w:t>
      </w:r>
      <w:r>
        <w:rPr>
          <w:rFonts w:hint="cs"/>
          <w:rtl/>
        </w:rPr>
        <w:t>,</w:t>
      </w:r>
      <w:r w:rsidRPr="00D63FD8">
        <w:rPr>
          <w:rFonts w:hint="cs"/>
          <w:rtl/>
        </w:rPr>
        <w:t xml:space="preserve"> ואולי אף העיקרית</w:t>
      </w:r>
      <w:r>
        <w:rPr>
          <w:rFonts w:hint="cs"/>
          <w:rtl/>
        </w:rPr>
        <w:t>,</w:t>
      </w:r>
      <w:r w:rsidRPr="00D63FD8">
        <w:rPr>
          <w:rFonts w:hint="cs"/>
          <w:rtl/>
        </w:rPr>
        <w:t xml:space="preserve"> של אופיר הייתה לסיים את הסכסוך בין מנורה לאריאל. ברם למטרה זו חברה מטרה משנית והיא לסייע לצדדים לבסס ביניהם את ההסכמה המנוגדת לחוק.</w:t>
      </w:r>
    </w:p>
    <w:p w:rsidR="006A180F" w:rsidRPr="00D63FD8" w:rsidRDefault="006A180F" w:rsidP="006A180F">
      <w:pPr>
        <w:pStyle w:val="a"/>
        <w:rPr>
          <w:rFonts w:hint="cs"/>
          <w:sz w:val="24"/>
          <w:rtl/>
        </w:rPr>
      </w:pPr>
      <w:r w:rsidRPr="00D63FD8">
        <w:rPr>
          <w:rFonts w:hint="cs"/>
          <w:rtl/>
        </w:rPr>
        <w:t xml:space="preserve">לאחר כל אלו, ומשקבעתי כי התקיימו באופיר יסודות הסיוע כולם, אעבור לבחון אם ראוי ונכון היה להחיל את הסייג בדבר זוטי דברים </w:t>
      </w:r>
      <w:r w:rsidRPr="00D63FD8">
        <w:rPr>
          <w:rFonts w:hint="cs"/>
          <w:sz w:val="28"/>
          <w:rtl/>
        </w:rPr>
        <w:t>בענייננו.</w:t>
      </w:r>
    </w:p>
    <w:p w:rsidR="006A180F" w:rsidRPr="00D63FD8" w:rsidRDefault="006A180F" w:rsidP="005D40E8">
      <w:pPr>
        <w:pStyle w:val="a"/>
        <w:rPr>
          <w:rFonts w:hint="cs"/>
          <w:rtl/>
        </w:rPr>
      </w:pPr>
      <w:r w:rsidRPr="005D40E8">
        <w:rPr>
          <w:rFonts w:cs="Miriam" w:hint="cs"/>
          <w:szCs w:val="19"/>
          <w:rtl/>
        </w:rPr>
        <w:t>האם עומדת למשיב 3 ההגנה בדבר זוטי דברים?</w:t>
      </w:r>
    </w:p>
    <w:p w:rsidR="006A180F" w:rsidRPr="004835A6" w:rsidRDefault="006A180F" w:rsidP="006A180F">
      <w:pPr>
        <w:pStyle w:val="a"/>
        <w:rPr>
          <w:rFonts w:hint="cs"/>
          <w:rtl/>
        </w:rPr>
      </w:pPr>
      <w:r w:rsidRPr="004835A6">
        <w:rPr>
          <w:rFonts w:hint="cs"/>
          <w:sz w:val="24"/>
          <w:rtl/>
        </w:rPr>
        <w:t>33.</w:t>
      </w:r>
      <w:r w:rsidRPr="004835A6">
        <w:rPr>
          <w:rFonts w:hint="cs"/>
          <w:sz w:val="24"/>
          <w:rtl/>
        </w:rPr>
        <w:tab/>
      </w:r>
      <w:r w:rsidRPr="004835A6">
        <w:rPr>
          <w:rFonts w:hint="cs"/>
          <w:rtl/>
        </w:rPr>
        <w:t>בית המשפט המחוזי קבע כי</w:t>
      </w:r>
      <w:r w:rsidRPr="004835A6">
        <w:rPr>
          <w:rFonts w:hint="cs"/>
          <w:sz w:val="24"/>
          <w:rtl/>
        </w:rPr>
        <w:t xml:space="preserve"> </w:t>
      </w:r>
      <w:r w:rsidRPr="004835A6">
        <w:rPr>
          <w:rFonts w:hint="cs"/>
          <w:rtl/>
        </w:rPr>
        <w:t>אף</w:t>
      </w:r>
      <w:r>
        <w:rPr>
          <w:rFonts w:hint="cs"/>
          <w:rtl/>
        </w:rPr>
        <w:t xml:space="preserve"> על פי</w:t>
      </w:r>
      <w:r w:rsidRPr="004835A6">
        <w:rPr>
          <w:rFonts w:hint="cs"/>
          <w:rtl/>
        </w:rPr>
        <w:t xml:space="preserve"> שנתקיימו באופיר כל יסודותיה של עבירת הסיוע, יש לזכותו מכוחו של הסייג בדבר זוטי דברים. את החלתו של הסייג נימק בית משפט קמא כך: </w:t>
      </w:r>
    </w:p>
    <w:p w:rsidR="006A180F" w:rsidRDefault="006A180F" w:rsidP="00376C9E">
      <w:pPr>
        <w:pStyle w:val="a4"/>
        <w:rPr>
          <w:rFonts w:hint="cs"/>
          <w:rtl/>
        </w:rPr>
      </w:pPr>
      <w:r>
        <w:rPr>
          <w:rFonts w:hint="cs"/>
          <w:rtl/>
        </w:rPr>
        <w:t xml:space="preserve">"היה מקום להחיל לגבי </w:t>
      </w:r>
      <w:r w:rsidR="00376C9E">
        <w:rPr>
          <w:rFonts w:hint="cs"/>
          <w:rtl/>
        </w:rPr>
        <w:t>ה</w:t>
      </w:r>
      <w:r>
        <w:rPr>
          <w:rFonts w:hint="cs"/>
          <w:rtl/>
        </w:rPr>
        <w:t xml:space="preserve">נאשם 7 </w:t>
      </w:r>
      <w:r w:rsidRPr="00164658">
        <w:rPr>
          <w:rFonts w:hint="cs"/>
          <w:sz w:val="24"/>
          <w:rtl/>
        </w:rPr>
        <w:t>[</w:t>
      </w:r>
      <w:r w:rsidRPr="00376C9E">
        <w:rPr>
          <w:rFonts w:hint="cs"/>
          <w:rtl/>
        </w:rPr>
        <w:t>אופיר</w:t>
      </w:r>
      <w:r w:rsidR="00376C9E">
        <w:rPr>
          <w:rFonts w:hint="cs"/>
          <w:rtl/>
        </w:rPr>
        <w:t xml:space="preserve"> – א' א' ל'</w:t>
      </w:r>
      <w:r w:rsidRPr="00164658">
        <w:rPr>
          <w:rFonts w:hint="cs"/>
          <w:sz w:val="24"/>
          <w:rtl/>
        </w:rPr>
        <w:t>]</w:t>
      </w:r>
      <w:r>
        <w:rPr>
          <w:rFonts w:hint="cs"/>
          <w:rtl/>
        </w:rPr>
        <w:t xml:space="preserve"> את הסייג האמור, לאור חלקו השולי במעשה העבירה. תרומתו לעשייתו קטנה: הוא לא הגה את רעיון ההסדר, וגם לא קבע את תוכן שטר הבוררין. הוא ראה את תפקידו כפוסק רכיבי הפיצוי במגמה לסיים את הסכסוך העסקי שבין הצדדים לשטר הבוררות</w:t>
      </w:r>
      <w:r w:rsidR="00376C9E">
        <w:rPr>
          <w:rFonts w:hint="cs"/>
          <w:rtl/>
        </w:rPr>
        <w:t>.</w:t>
      </w:r>
      <w:r>
        <w:rPr>
          <w:rFonts w:hint="cs"/>
          <w:rtl/>
        </w:rPr>
        <w:t xml:space="preserve"> לא היה לו עניין אישי כלשהו בקיום ההסכם, ואף לא בעצם קיום הבוררות. כאמור</w:t>
      </w:r>
      <w:r w:rsidR="00376C9E">
        <w:rPr>
          <w:rFonts w:hint="cs"/>
          <w:rtl/>
        </w:rPr>
        <w:t>,</w:t>
      </w:r>
      <w:r>
        <w:rPr>
          <w:rFonts w:hint="cs"/>
          <w:rtl/>
        </w:rPr>
        <w:t xml:space="preserve"> הוא אף לא קיבל שכר בשל סיועו" (</w:t>
      </w:r>
      <w:r w:rsidR="00376C9E">
        <w:rPr>
          <w:rFonts w:cs="Miriam" w:hint="cs"/>
          <w:szCs w:val="19"/>
          <w:rtl/>
        </w:rPr>
        <w:t>שם</w:t>
      </w:r>
      <w:r w:rsidR="00376C9E">
        <w:rPr>
          <w:rFonts w:hint="cs"/>
          <w:rtl/>
        </w:rPr>
        <w:t xml:space="preserve">, </w:t>
      </w:r>
      <w:r w:rsidR="00376C9E">
        <w:rPr>
          <w:rFonts w:cs="Miriam" w:hint="cs"/>
          <w:szCs w:val="19"/>
          <w:rtl/>
        </w:rPr>
        <w:t>בעמ' 296</w:t>
      </w:r>
      <w:r>
        <w:rPr>
          <w:rFonts w:hint="cs"/>
          <w:rtl/>
        </w:rPr>
        <w:t>).</w:t>
      </w:r>
    </w:p>
    <w:p w:rsidR="006A180F" w:rsidRDefault="006A180F" w:rsidP="006A180F">
      <w:pPr>
        <w:pStyle w:val="a"/>
        <w:rPr>
          <w:rFonts w:hint="cs"/>
          <w:rtl/>
        </w:rPr>
      </w:pPr>
      <w:r w:rsidRPr="00D63FD8">
        <w:rPr>
          <w:rFonts w:hint="cs"/>
          <w:rtl/>
        </w:rPr>
        <w:t>ובהמשך, בהתייחסו ליסוד הנפשי של אופיר, ציין כי</w:t>
      </w:r>
      <w:r>
        <w:rPr>
          <w:rFonts w:hint="cs"/>
          <w:rtl/>
        </w:rPr>
        <w:t xml:space="preserve">: </w:t>
      </w:r>
    </w:p>
    <w:p w:rsidR="006A180F" w:rsidRDefault="00D35634" w:rsidP="00376C9E">
      <w:pPr>
        <w:pStyle w:val="a4"/>
        <w:rPr>
          <w:rFonts w:hint="cs"/>
          <w:rtl/>
        </w:rPr>
      </w:pPr>
      <w:r>
        <w:rPr>
          <w:rtl/>
        </w:rPr>
        <w:br w:type="page"/>
      </w:r>
      <w:r w:rsidR="006A180F">
        <w:rPr>
          <w:rFonts w:hint="cs"/>
          <w:rtl/>
        </w:rPr>
        <w:t>"...מזדקרת, למצער, העובדה שמטרת פעילותו כבורר הייתה קביעת היקף הפיצוי במגמה לסיים את הסכסוך. נראה אפוא כי גם אם מתקיימת הדרישה הנפשית האמורה, הרי היא צדדית להתנהגותו</w:t>
      </w:r>
      <w:r w:rsidR="00376C9E">
        <w:rPr>
          <w:rFonts w:hint="cs"/>
          <w:rtl/>
        </w:rPr>
        <w:t>,</w:t>
      </w:r>
      <w:r w:rsidR="006A180F">
        <w:rPr>
          <w:rFonts w:hint="cs"/>
          <w:rtl/>
        </w:rPr>
        <w:t xml:space="preserve"> וההתייחסות הנאותה כלפיה מביאה לזיכוי בשל זוטי דברים" (</w:t>
      </w:r>
      <w:r w:rsidR="00376C9E">
        <w:rPr>
          <w:rFonts w:cs="Miriam" w:hint="cs"/>
          <w:szCs w:val="19"/>
          <w:rtl/>
        </w:rPr>
        <w:t>שם</w:t>
      </w:r>
      <w:r w:rsidR="00376C9E">
        <w:rPr>
          <w:rFonts w:hint="cs"/>
          <w:rtl/>
        </w:rPr>
        <w:t xml:space="preserve">, </w:t>
      </w:r>
      <w:r w:rsidR="00376C9E">
        <w:rPr>
          <w:rFonts w:cs="Miriam" w:hint="cs"/>
          <w:szCs w:val="19"/>
          <w:rtl/>
        </w:rPr>
        <w:t>בעמ' 301</w:t>
      </w:r>
      <w:r w:rsidR="006A180F">
        <w:rPr>
          <w:rFonts w:hint="cs"/>
          <w:rtl/>
        </w:rPr>
        <w:t>).</w:t>
      </w:r>
    </w:p>
    <w:p w:rsidR="006A180F" w:rsidRDefault="006A180F" w:rsidP="006A180F">
      <w:pPr>
        <w:pStyle w:val="a"/>
        <w:rPr>
          <w:rFonts w:hint="cs"/>
          <w:rtl/>
        </w:rPr>
      </w:pPr>
      <w:r>
        <w:rPr>
          <w:rFonts w:hint="cs"/>
          <w:rtl/>
        </w:rPr>
        <w:t>34.</w:t>
      </w:r>
      <w:r>
        <w:rPr>
          <w:rFonts w:hint="cs"/>
          <w:rtl/>
        </w:rPr>
        <w:tab/>
        <w:t>לדאבוני, אינני יכול להצטרף גם למסקנותיו אלו של בית משפט קמא. כאמור, הסייג בדבר זוטי דברים יופעל במשורה ובמקרים חריגים, והכוונה היא לאותם מקרים שבהם מידת האנטי</w:t>
      </w:r>
      <w:r w:rsidRPr="00D802CA">
        <w:rPr>
          <w:rFonts w:hint="cs"/>
          <w:position w:val="4"/>
          <w:rtl/>
        </w:rPr>
        <w:t>-</w:t>
      </w:r>
      <w:r>
        <w:rPr>
          <w:rFonts w:hint="cs"/>
          <w:rtl/>
        </w:rPr>
        <w:t xml:space="preserve">חברתיות הנובעת מן המעשה כה זניחה עד שכמעט אינה נראית. אינני סבור כי מעשיו של אופיר נכנסים לגדרם של מקרים אלה באשר אף אם במעשיו לא סייע בגיבושו של ההסדר הכובל, יוחד לו תפקיד מרכזי בהוצאתו אל הפועל ובאכיפתו במישור היחסים שבין מנורה ואריאל. מכאן שבנסיבותיו של המקרה שלפנינו לא זו בלבד שאין להחיל את הסייג בדבר זוטי דברים, אלא שהחלתו חותרת תחת המטרה שלשמה חוקק חוק ההגבלים ושעליה עמדתי בראשית דבריי. </w:t>
      </w:r>
    </w:p>
    <w:p w:rsidR="006A180F" w:rsidRPr="005D40E8" w:rsidRDefault="006A180F" w:rsidP="005D40E8">
      <w:pPr>
        <w:pStyle w:val="a"/>
        <w:rPr>
          <w:rFonts w:cs="Miriam" w:hint="cs"/>
          <w:szCs w:val="19"/>
          <w:rtl/>
        </w:rPr>
      </w:pPr>
      <w:r w:rsidRPr="005D40E8">
        <w:rPr>
          <w:rFonts w:cs="Miriam" w:hint="cs"/>
          <w:szCs w:val="19"/>
          <w:rtl/>
        </w:rPr>
        <w:t>היקפה של ההגנה על הרשות השופטת</w:t>
      </w:r>
    </w:p>
    <w:p w:rsidR="003C285D" w:rsidRDefault="006A180F" w:rsidP="005D40E8">
      <w:pPr>
        <w:pStyle w:val="a"/>
        <w:rPr>
          <w:rFonts w:hint="cs"/>
          <w:rtl/>
        </w:rPr>
      </w:pPr>
      <w:r>
        <w:rPr>
          <w:rFonts w:hint="cs"/>
          <w:rtl/>
        </w:rPr>
        <w:t>35.</w:t>
      </w:r>
      <w:r>
        <w:rPr>
          <w:rFonts w:hint="cs"/>
          <w:rtl/>
        </w:rPr>
        <w:tab/>
        <w:t xml:space="preserve">בית משפט קמא זיכה את אופיר מהעבירות שיוחסו לו גם משום שסבר כי גם אם חטא, עומדת לו ההגנה הניתנת לרשות השופטת מפני הרשעה. אין בידי לקבל מסקנה זו. </w:t>
      </w:r>
      <w:hyperlink r:id="rId212" w:history="1">
        <w:r w:rsidR="00323C68" w:rsidRPr="00323C68">
          <w:rPr>
            <w:color w:val="0000FF"/>
            <w:u w:val="single"/>
            <w:rtl/>
          </w:rPr>
          <w:t>סעיף 34כ</w:t>
        </w:r>
      </w:hyperlink>
      <w:r>
        <w:rPr>
          <w:rFonts w:hint="cs"/>
          <w:rtl/>
        </w:rPr>
        <w:t xml:space="preserve"> ל</w:t>
      </w:r>
      <w:hyperlink r:id="rId213" w:history="1">
        <w:r w:rsidR="00A7624C" w:rsidRPr="00A7624C">
          <w:rPr>
            <w:rStyle w:val="Hyperlink"/>
            <w:rtl/>
          </w:rPr>
          <w:t>חוק העונשין</w:t>
        </w:r>
      </w:hyperlink>
      <w:r>
        <w:rPr>
          <w:rFonts w:hint="cs"/>
          <w:rtl/>
        </w:rPr>
        <w:t xml:space="preserve"> מעניק לנושא משרה שיפוטית חסינות מפני העמדה לדין בגין מעשים שעשה במהלך תפקידו, וזו לשונו:</w:t>
      </w:r>
    </w:p>
    <w:tbl>
      <w:tblPr>
        <w:bidiVisual/>
        <w:tblW w:w="0" w:type="auto"/>
        <w:tblInd w:w="392" w:type="dxa"/>
        <w:tblLayout w:type="fixed"/>
        <w:tblLook w:val="01E0" w:firstRow="1" w:lastRow="1" w:firstColumn="1" w:lastColumn="1" w:noHBand="0" w:noVBand="0"/>
      </w:tblPr>
      <w:tblGrid>
        <w:gridCol w:w="1417"/>
        <w:gridCol w:w="4864"/>
      </w:tblGrid>
      <w:tr w:rsidR="003C285D" w:rsidRPr="00323734">
        <w:tc>
          <w:tcPr>
            <w:tcW w:w="1417" w:type="dxa"/>
          </w:tcPr>
          <w:p w:rsidR="003C285D" w:rsidRPr="00F17502" w:rsidRDefault="003C285D" w:rsidP="00323734">
            <w:pPr>
              <w:pStyle w:val="a4"/>
              <w:spacing w:before="40" w:after="0" w:line="220" w:lineRule="exact"/>
              <w:ind w:left="0" w:right="34"/>
              <w:rPr>
                <w:rStyle w:val="default"/>
                <w:rFonts w:hint="cs"/>
                <w:rtl/>
              </w:rPr>
            </w:pPr>
            <w:r w:rsidRPr="00323734">
              <w:rPr>
                <w:rStyle w:val="default"/>
                <w:rFonts w:cs="FrankRuehl" w:hint="cs"/>
                <w:sz w:val="20"/>
                <w:szCs w:val="24"/>
                <w:rtl/>
              </w:rPr>
              <w:t>"</w:t>
            </w:r>
            <w:r w:rsidRPr="00323734">
              <w:rPr>
                <w:rStyle w:val="default"/>
                <w:rFonts w:cs="FrankRuehl" w:hint="cs"/>
                <w:sz w:val="18"/>
                <w:szCs w:val="22"/>
                <w:rtl/>
              </w:rPr>
              <w:t>הגנה</w:t>
            </w:r>
            <w:r w:rsidRPr="00323734">
              <w:rPr>
                <w:rStyle w:val="default"/>
                <w:rFonts w:cs="FrankRuehl" w:hint="eastAsia"/>
                <w:sz w:val="18"/>
                <w:szCs w:val="22"/>
                <w:rtl/>
              </w:rPr>
              <w:t> </w:t>
            </w:r>
            <w:r w:rsidRPr="00323734">
              <w:rPr>
                <w:rStyle w:val="default"/>
                <w:rFonts w:cs="FrankRuehl" w:hint="cs"/>
                <w:sz w:val="18"/>
                <w:szCs w:val="22"/>
                <w:rtl/>
              </w:rPr>
              <w:t>על</w:t>
            </w:r>
            <w:r w:rsidRPr="00323734">
              <w:rPr>
                <w:rStyle w:val="default"/>
                <w:rFonts w:cs="FrankRuehl" w:hint="eastAsia"/>
                <w:sz w:val="18"/>
                <w:szCs w:val="22"/>
                <w:rtl/>
              </w:rPr>
              <w:t> </w:t>
            </w:r>
            <w:r w:rsidRPr="00323734">
              <w:rPr>
                <w:rStyle w:val="default"/>
                <w:rFonts w:cs="FrankRuehl" w:hint="cs"/>
                <w:sz w:val="18"/>
                <w:szCs w:val="22"/>
                <w:rtl/>
              </w:rPr>
              <w:t xml:space="preserve">רשות </w:t>
            </w:r>
            <w:r w:rsidRPr="00323734">
              <w:rPr>
                <w:rStyle w:val="default"/>
                <w:rFonts w:cs="FrankRuehl" w:hint="eastAsia"/>
                <w:sz w:val="18"/>
                <w:szCs w:val="22"/>
                <w:rtl/>
              </w:rPr>
              <w:t> </w:t>
            </w:r>
            <w:r w:rsidRPr="00323734">
              <w:rPr>
                <w:rStyle w:val="default"/>
                <w:rFonts w:cs="FrankRuehl" w:hint="cs"/>
                <w:sz w:val="18"/>
                <w:szCs w:val="22"/>
                <w:rtl/>
              </w:rPr>
              <w:t>שופטת</w:t>
            </w:r>
            <w:r w:rsidRPr="00323734">
              <w:rPr>
                <w:rStyle w:val="default"/>
                <w:rFonts w:hint="cs"/>
                <w:sz w:val="16"/>
                <w:szCs w:val="20"/>
                <w:rtl/>
              </w:rPr>
              <w:t xml:space="preserve"> </w:t>
            </w:r>
            <w:r w:rsidRPr="00323734">
              <w:rPr>
                <w:rStyle w:val="default"/>
                <w:rFonts w:hint="eastAsia"/>
                <w:sz w:val="16"/>
                <w:szCs w:val="20"/>
                <w:rtl/>
              </w:rPr>
              <w:t>  </w:t>
            </w:r>
          </w:p>
        </w:tc>
        <w:tc>
          <w:tcPr>
            <w:tcW w:w="4864" w:type="dxa"/>
          </w:tcPr>
          <w:p w:rsidR="003C285D" w:rsidRPr="00F17502" w:rsidRDefault="003C285D" w:rsidP="00323734">
            <w:pPr>
              <w:pStyle w:val="a4"/>
              <w:ind w:left="459" w:right="362" w:hanging="459"/>
              <w:rPr>
                <w:rStyle w:val="default"/>
                <w:rFonts w:hint="cs"/>
                <w:rtl/>
              </w:rPr>
            </w:pPr>
            <w:r>
              <w:rPr>
                <w:rFonts w:hint="cs"/>
                <w:rtl/>
              </w:rPr>
              <w:t xml:space="preserve">34כ. </w:t>
            </w:r>
            <w:r w:rsidRPr="00323734">
              <w:rPr>
                <w:sz w:val="28"/>
                <w:rtl/>
              </w:rPr>
              <w:t>נושא משרה שיפוטית לא יישא באחריות פלילית למעשה שעשה במילוי תפקידיו השיפוטיים, אף אם חרג בכך מתחום סמכותו</w:t>
            </w:r>
            <w:r>
              <w:rPr>
                <w:rFonts w:hint="cs"/>
                <w:rtl/>
              </w:rPr>
              <w:t>".</w:t>
            </w:r>
          </w:p>
        </w:tc>
      </w:tr>
    </w:tbl>
    <w:p w:rsidR="006A180F" w:rsidRDefault="006A180F" w:rsidP="006A180F">
      <w:pPr>
        <w:pStyle w:val="a"/>
        <w:rPr>
          <w:rFonts w:hint="cs"/>
          <w:rtl/>
        </w:rPr>
      </w:pPr>
      <w:r>
        <w:rPr>
          <w:rFonts w:hint="cs"/>
          <w:rtl/>
        </w:rPr>
        <w:t xml:space="preserve">עיקר המחלוקת נסבה סביב הפרשנות הראויה למונח "נושא משרה שיפוטית", ובעיקר סביב השאלה אם אדם שמונה לשמש בורר על ידי צדדים לסכסוך ייחשב כמי שנושא במשרה שיפוטית, או שמא ה"הגנה על רשות שופטת" תחול רק על מי שמשתייך מבחינה פונקציונלית לרשות השופטת. </w:t>
      </w:r>
    </w:p>
    <w:p w:rsidR="00D35634" w:rsidRDefault="006A180F" w:rsidP="006A180F">
      <w:pPr>
        <w:pStyle w:val="a"/>
        <w:rPr>
          <w:rtl/>
        </w:rPr>
      </w:pPr>
      <w:r>
        <w:rPr>
          <w:rFonts w:hint="cs"/>
          <w:rtl/>
        </w:rPr>
        <w:t xml:space="preserve">לשונה של ההגנה </w:t>
      </w:r>
      <w:hyperlink r:id="rId214" w:history="1">
        <w:r w:rsidR="00323C68" w:rsidRPr="00323C68">
          <w:rPr>
            <w:color w:val="0000FF"/>
            <w:u w:val="single"/>
            <w:rtl/>
          </w:rPr>
          <w:t>בסעיף 34כ</w:t>
        </w:r>
      </w:hyperlink>
      <w:r>
        <w:rPr>
          <w:rFonts w:hint="cs"/>
          <w:rtl/>
        </w:rPr>
        <w:t xml:space="preserve"> ל</w:t>
      </w:r>
      <w:hyperlink r:id="rId215" w:history="1">
        <w:r w:rsidR="00A7624C" w:rsidRPr="00A7624C">
          <w:rPr>
            <w:rStyle w:val="Hyperlink"/>
            <w:rtl/>
          </w:rPr>
          <w:t>חוק העונשין</w:t>
        </w:r>
      </w:hyperlink>
      <w:r>
        <w:rPr>
          <w:rFonts w:hint="cs"/>
          <w:rtl/>
        </w:rPr>
        <w:t xml:space="preserve"> אינה נוקבת באופן מפורש ב"בורר" כמי שיש להחיל עליו את החסינות. לו הייתה עובדה זו ניצבת לבדה, ייתכן שלא הייתי ממהר לקבוע כי בהשמיטו את המילה "בורר" </w:t>
      </w:r>
      <w:hyperlink r:id="rId216" w:history="1">
        <w:r w:rsidR="00323C68" w:rsidRPr="00323C68">
          <w:rPr>
            <w:color w:val="0000FF"/>
            <w:u w:val="single"/>
            <w:rtl/>
          </w:rPr>
          <w:t>מסעיף 34כ</w:t>
        </w:r>
      </w:hyperlink>
      <w:r>
        <w:rPr>
          <w:rFonts w:hint="cs"/>
          <w:rtl/>
        </w:rPr>
        <w:t xml:space="preserve"> ביקש המחוקק ליצור הסדר שלילי באשר לתחולתה גם על בורר. עם זאת ההגנה על בעלי תפקידים שיפוטיים אינה באה לידי ביטוי רק במישור הפלילי. </w:t>
      </w:r>
      <w:hyperlink r:id="rId217" w:history="1">
        <w:r w:rsidR="00323C68" w:rsidRPr="00323C68">
          <w:rPr>
            <w:color w:val="0000FF"/>
            <w:u w:val="single"/>
            <w:rtl/>
          </w:rPr>
          <w:t>סעיף 8</w:t>
        </w:r>
      </w:hyperlink>
      <w:r>
        <w:rPr>
          <w:rFonts w:hint="cs"/>
          <w:rtl/>
        </w:rPr>
        <w:t xml:space="preserve"> ל</w:t>
      </w:r>
      <w:hyperlink r:id="rId218" w:history="1">
        <w:r w:rsidR="00A7624C" w:rsidRPr="00A7624C">
          <w:rPr>
            <w:rStyle w:val="Hyperlink"/>
            <w:rtl/>
          </w:rPr>
          <w:t>פקודת הנזיקין</w:t>
        </w:r>
      </w:hyperlink>
      <w:r>
        <w:rPr>
          <w:rFonts w:hint="cs"/>
          <w:rtl/>
        </w:rPr>
        <w:t xml:space="preserve"> </w:t>
      </w:r>
      <w:r w:rsidR="003C285D">
        <w:rPr>
          <w:rFonts w:hint="cs"/>
          <w:rtl/>
        </w:rPr>
        <w:t xml:space="preserve">[נוסח חדש] </w:t>
      </w:r>
      <w:r>
        <w:rPr>
          <w:rFonts w:hint="cs"/>
          <w:rtl/>
        </w:rPr>
        <w:t xml:space="preserve">מעניק לבעלי </w:t>
      </w:r>
    </w:p>
    <w:p w:rsidR="003C285D" w:rsidRDefault="00D35634" w:rsidP="00D35634">
      <w:pPr>
        <w:pStyle w:val="a"/>
        <w:ind w:firstLine="0"/>
        <w:rPr>
          <w:rFonts w:hint="cs"/>
          <w:rtl/>
        </w:rPr>
      </w:pPr>
      <w:r>
        <w:rPr>
          <w:rtl/>
        </w:rPr>
        <w:br w:type="page"/>
      </w:r>
      <w:r w:rsidR="006A180F">
        <w:rPr>
          <w:rFonts w:hint="cs"/>
          <w:rtl/>
        </w:rPr>
        <w:t>תפקידים שיפוטיים חסינות גם במישור האזרחי</w:t>
      </w:r>
      <w:r w:rsidR="006A180F" w:rsidRPr="00166A59">
        <w:rPr>
          <w:rFonts w:hint="cs"/>
          <w:position w:val="4"/>
          <w:rtl/>
        </w:rPr>
        <w:t>-</w:t>
      </w:r>
      <w:r w:rsidR="006A180F">
        <w:rPr>
          <w:rFonts w:hint="cs"/>
          <w:rtl/>
        </w:rPr>
        <w:t>נזיקי, ובנסחו חסינות זו כלל בה המחוקק את הבורר במפורש:</w:t>
      </w:r>
    </w:p>
    <w:tbl>
      <w:tblPr>
        <w:bidiVisual/>
        <w:tblW w:w="0" w:type="auto"/>
        <w:tblInd w:w="392" w:type="dxa"/>
        <w:tblLayout w:type="fixed"/>
        <w:tblLook w:val="01E0" w:firstRow="1" w:lastRow="1" w:firstColumn="1" w:lastColumn="1" w:noHBand="0" w:noVBand="0"/>
      </w:tblPr>
      <w:tblGrid>
        <w:gridCol w:w="1417"/>
        <w:gridCol w:w="4864"/>
      </w:tblGrid>
      <w:tr w:rsidR="003C285D" w:rsidRPr="00323734">
        <w:tc>
          <w:tcPr>
            <w:tcW w:w="1417" w:type="dxa"/>
          </w:tcPr>
          <w:p w:rsidR="003C285D" w:rsidRPr="00F17502" w:rsidRDefault="003C285D" w:rsidP="00323734">
            <w:pPr>
              <w:pStyle w:val="a4"/>
              <w:spacing w:before="40" w:after="0" w:line="220" w:lineRule="exact"/>
              <w:ind w:left="0" w:right="34"/>
              <w:rPr>
                <w:rStyle w:val="default"/>
                <w:rFonts w:hint="cs"/>
                <w:rtl/>
              </w:rPr>
            </w:pPr>
            <w:r w:rsidRPr="00323734">
              <w:rPr>
                <w:rStyle w:val="default"/>
                <w:rFonts w:cs="FrankRuehl" w:hint="cs"/>
                <w:sz w:val="20"/>
                <w:szCs w:val="24"/>
                <w:rtl/>
              </w:rPr>
              <w:t>"</w:t>
            </w:r>
            <w:r w:rsidRPr="00323734">
              <w:rPr>
                <w:rStyle w:val="default"/>
                <w:rFonts w:cs="FrankRuehl" w:hint="cs"/>
                <w:sz w:val="18"/>
                <w:szCs w:val="22"/>
                <w:rtl/>
              </w:rPr>
              <w:t>רשות</w:t>
            </w:r>
            <w:r w:rsidRPr="00323734">
              <w:rPr>
                <w:rStyle w:val="default"/>
                <w:rFonts w:cs="FrankRuehl" w:hint="eastAsia"/>
                <w:sz w:val="18"/>
                <w:szCs w:val="22"/>
                <w:rtl/>
              </w:rPr>
              <w:t> </w:t>
            </w:r>
            <w:r w:rsidRPr="00323734">
              <w:rPr>
                <w:rStyle w:val="default"/>
                <w:rFonts w:cs="FrankRuehl" w:hint="cs"/>
                <w:sz w:val="18"/>
                <w:szCs w:val="22"/>
                <w:rtl/>
              </w:rPr>
              <w:t>שופטת</w:t>
            </w:r>
            <w:r w:rsidRPr="00323734">
              <w:rPr>
                <w:rStyle w:val="default"/>
                <w:rFonts w:hint="cs"/>
                <w:sz w:val="16"/>
                <w:szCs w:val="20"/>
                <w:rtl/>
              </w:rPr>
              <w:t xml:space="preserve"> </w:t>
            </w:r>
            <w:r w:rsidRPr="00323734">
              <w:rPr>
                <w:rStyle w:val="default"/>
                <w:rFonts w:hint="eastAsia"/>
                <w:sz w:val="16"/>
                <w:szCs w:val="20"/>
                <w:rtl/>
              </w:rPr>
              <w:t>  </w:t>
            </w:r>
          </w:p>
        </w:tc>
        <w:tc>
          <w:tcPr>
            <w:tcW w:w="4864" w:type="dxa"/>
          </w:tcPr>
          <w:p w:rsidR="003C285D" w:rsidRPr="00F17502" w:rsidRDefault="003C285D" w:rsidP="00323734">
            <w:pPr>
              <w:pStyle w:val="a4"/>
              <w:ind w:left="317" w:right="362" w:hanging="317"/>
              <w:rPr>
                <w:rStyle w:val="default"/>
                <w:rFonts w:hint="cs"/>
                <w:rtl/>
              </w:rPr>
            </w:pPr>
            <w:r>
              <w:rPr>
                <w:rFonts w:hint="cs"/>
                <w:rtl/>
              </w:rPr>
              <w:t xml:space="preserve">8. </w:t>
            </w:r>
            <w:r w:rsidRPr="00323734">
              <w:rPr>
                <w:rFonts w:hint="cs"/>
                <w:sz w:val="28"/>
                <w:rtl/>
              </w:rPr>
              <w:t> </w:t>
            </w:r>
            <w:r w:rsidRPr="00323734">
              <w:rPr>
                <w:sz w:val="28"/>
                <w:rtl/>
              </w:rPr>
              <w:t>אדם שהוא גופו בית משפט או בית דין או אחד</w:t>
            </w:r>
            <w:r w:rsidRPr="00323734">
              <w:rPr>
                <w:rFonts w:hint="cs"/>
                <w:sz w:val="28"/>
                <w:rtl/>
              </w:rPr>
              <w:t xml:space="preserve"> </w:t>
            </w:r>
            <w:r w:rsidRPr="00323734">
              <w:rPr>
                <w:sz w:val="28"/>
                <w:rtl/>
              </w:rPr>
              <w:t xml:space="preserve">מחבריהם, או שהוא ממלא כדין חובותיו של אדם כאמור, וכל אדם אחר המבצע פעולות שיפוט, </w:t>
            </w:r>
            <w:r w:rsidRPr="00323734">
              <w:rPr>
                <w:rFonts w:cs="Miriam"/>
                <w:szCs w:val="19"/>
                <w:rtl/>
              </w:rPr>
              <w:t>לרבות בורר</w:t>
            </w:r>
            <w:r w:rsidRPr="00323734">
              <w:rPr>
                <w:sz w:val="28"/>
                <w:rtl/>
              </w:rPr>
              <w:t xml:space="preserve"> </w:t>
            </w:r>
            <w:r w:rsidR="00166A59" w:rsidRPr="00323734">
              <w:rPr>
                <w:rFonts w:hint="cs"/>
                <w:sz w:val="28"/>
                <w:rtl/>
              </w:rPr>
              <w:t>–</w:t>
            </w:r>
            <w:r w:rsidRPr="00323734">
              <w:rPr>
                <w:sz w:val="28"/>
                <w:rtl/>
              </w:rPr>
              <w:t xml:space="preserve"> לא תוגש נגדו תובענה על עוולה שעשה במילוי תפקידו השיפוטי</w:t>
            </w:r>
            <w:r w:rsidRPr="00323734">
              <w:rPr>
                <w:rFonts w:hint="cs"/>
                <w:sz w:val="28"/>
                <w:rtl/>
              </w:rPr>
              <w:t xml:space="preserve">" </w:t>
            </w:r>
            <w:r w:rsidR="00166A59" w:rsidRPr="00323734">
              <w:rPr>
                <w:rFonts w:hint="cs"/>
                <w:sz w:val="28"/>
                <w:rtl/>
              </w:rPr>
              <w:t>(</w:t>
            </w:r>
            <w:r w:rsidRPr="00323734">
              <w:rPr>
                <w:rFonts w:hint="cs"/>
                <w:sz w:val="28"/>
                <w:rtl/>
              </w:rPr>
              <w:t xml:space="preserve">ההדגשה </w:t>
            </w:r>
            <w:r w:rsidR="00166A59" w:rsidRPr="00323734">
              <w:rPr>
                <w:rFonts w:hint="cs"/>
                <w:sz w:val="28"/>
                <w:rtl/>
              </w:rPr>
              <w:t>שלי – א' א' ל')</w:t>
            </w:r>
            <w:r>
              <w:rPr>
                <w:rFonts w:hint="cs"/>
                <w:rtl/>
              </w:rPr>
              <w:t>.</w:t>
            </w:r>
          </w:p>
        </w:tc>
      </w:tr>
    </w:tbl>
    <w:p w:rsidR="006A180F" w:rsidRPr="00CD1541" w:rsidRDefault="006A180F" w:rsidP="00994ECD">
      <w:pPr>
        <w:pStyle w:val="a"/>
        <w:rPr>
          <w:rFonts w:hint="cs"/>
          <w:rtl/>
        </w:rPr>
      </w:pPr>
      <w:r>
        <w:rPr>
          <w:rFonts w:hint="cs"/>
          <w:rtl/>
        </w:rPr>
        <w:t xml:space="preserve">הוא הדין גם בהגנה הקבועה </w:t>
      </w:r>
      <w:hyperlink r:id="rId219" w:history="1">
        <w:r w:rsidR="00323C68" w:rsidRPr="00323C68">
          <w:rPr>
            <w:color w:val="0000FF"/>
            <w:u w:val="single"/>
            <w:rtl/>
          </w:rPr>
          <w:t>בסעיף 13(5)</w:t>
        </w:r>
      </w:hyperlink>
      <w:r>
        <w:rPr>
          <w:rFonts w:hint="cs"/>
          <w:rtl/>
        </w:rPr>
        <w:t xml:space="preserve"> ל</w:t>
      </w:r>
      <w:hyperlink r:id="rId220" w:history="1">
        <w:r w:rsidR="00A7624C" w:rsidRPr="00A7624C">
          <w:rPr>
            <w:rStyle w:val="Hyperlink"/>
            <w:rtl/>
          </w:rPr>
          <w:t>חוק איסור לשון הרע</w:t>
        </w:r>
      </w:hyperlink>
      <w:r>
        <w:rPr>
          <w:rFonts w:hint="cs"/>
          <w:rtl/>
        </w:rPr>
        <w:t>, תשכ"</w:t>
      </w:r>
      <w:r w:rsidR="00994ECD">
        <w:rPr>
          <w:rFonts w:hint="cs"/>
          <w:rtl/>
        </w:rPr>
        <w:t>ה</w:t>
      </w:r>
      <w:r>
        <w:rPr>
          <w:rFonts w:hint="cs"/>
          <w:rtl/>
        </w:rPr>
        <w:t xml:space="preserve">-1965, אשר גם בה הוזכר הבורר במפורש, ולפיה "לא ישמש עילה למשפט פלילי או אזרחי... </w:t>
      </w:r>
      <w:r w:rsidRPr="00CD1541">
        <w:rPr>
          <w:rtl/>
        </w:rPr>
        <w:t>פרסום ע</w:t>
      </w:r>
      <w:r w:rsidR="00994ECD">
        <w:rPr>
          <w:rFonts w:hint="cs"/>
          <w:rtl/>
        </w:rPr>
        <w:t>"</w:t>
      </w:r>
      <w:r w:rsidRPr="00CD1541">
        <w:rPr>
          <w:rtl/>
        </w:rPr>
        <w:t xml:space="preserve">י שופט, חבר של בית דין דתי, </w:t>
      </w:r>
      <w:r w:rsidRPr="00994ECD">
        <w:rPr>
          <w:rFonts w:cs="Miriam"/>
          <w:szCs w:val="19"/>
          <w:rtl/>
        </w:rPr>
        <w:t>בורר</w:t>
      </w:r>
      <w:r w:rsidRPr="00CD1541">
        <w:rPr>
          <w:rtl/>
        </w:rPr>
        <w:t>, או אדם אחר בעל סמכות שיפוטית או מעין</w:t>
      </w:r>
      <w:r w:rsidR="00994ECD">
        <w:rPr>
          <w:rFonts w:hint="cs"/>
          <w:rtl/>
        </w:rPr>
        <w:t xml:space="preserve"> </w:t>
      </w:r>
      <w:r w:rsidRPr="00CD1541">
        <w:rPr>
          <w:rtl/>
        </w:rPr>
        <w:t xml:space="preserve">שיפוטית על פי דין, שנעשה תוך כדי דיון בפניהם או בהחלטתם, או פרסום על ידי בעל דין, בא כוחו של בעל דין או עד, </w:t>
      </w:r>
      <w:r>
        <w:rPr>
          <w:rtl/>
        </w:rPr>
        <w:t>שנעשה תוך כדי דיון כאמור</w:t>
      </w:r>
      <w:r>
        <w:rPr>
          <w:rFonts w:hint="cs"/>
          <w:rtl/>
        </w:rPr>
        <w:t xml:space="preserve">" (ההדגשה </w:t>
      </w:r>
      <w:r w:rsidR="00994ECD">
        <w:rPr>
          <w:rFonts w:hint="cs"/>
          <w:rtl/>
        </w:rPr>
        <w:t>שלי – א'</w:t>
      </w:r>
      <w:r w:rsidR="00994ECD">
        <w:rPr>
          <w:rFonts w:hint="eastAsia"/>
          <w:rtl/>
        </w:rPr>
        <w:t> </w:t>
      </w:r>
      <w:r w:rsidR="00994ECD">
        <w:rPr>
          <w:rFonts w:hint="cs"/>
          <w:rtl/>
        </w:rPr>
        <w:t>א' ל'</w:t>
      </w:r>
      <w:r>
        <w:rPr>
          <w:rFonts w:hint="cs"/>
          <w:rtl/>
        </w:rPr>
        <w:t>).</w:t>
      </w:r>
    </w:p>
    <w:p w:rsidR="006A180F" w:rsidRDefault="006A180F" w:rsidP="006A180F">
      <w:pPr>
        <w:pStyle w:val="a"/>
        <w:rPr>
          <w:rFonts w:hint="cs"/>
          <w:rtl/>
        </w:rPr>
      </w:pPr>
      <w:r>
        <w:rPr>
          <w:rFonts w:hint="cs"/>
          <w:rtl/>
        </w:rPr>
        <w:t>עינינו הרואות כי מקום שבו ביקש המחוקק להחיל את חסינותם של הנושאים בתפקידים שיפוטיים גם על בוררים, הוא עשה זאת במפורש ובאופן שאינו משתמע לשני פנים. ועוד, אף על פי שחסינותם של נושאי משרה שיפוטית במסגרת המשפט הפלילי הייתה קיימת כבר בפקודת החוק הפלילי</w:t>
      </w:r>
      <w:r w:rsidR="00020757">
        <w:rPr>
          <w:rFonts w:hint="cs"/>
          <w:rtl/>
        </w:rPr>
        <w:t>,</w:t>
      </w:r>
      <w:r>
        <w:rPr>
          <w:rFonts w:hint="cs"/>
          <w:rtl/>
        </w:rPr>
        <w:t xml:space="preserve"> 1936, הרי שנוסחו הקיים של </w:t>
      </w:r>
      <w:hyperlink r:id="rId221" w:history="1">
        <w:r w:rsidR="00323C68" w:rsidRPr="00323C68">
          <w:rPr>
            <w:color w:val="0000FF"/>
            <w:u w:val="single"/>
            <w:rtl/>
          </w:rPr>
          <w:t>סעיף 34כ</w:t>
        </w:r>
      </w:hyperlink>
      <w:r>
        <w:rPr>
          <w:rFonts w:hint="cs"/>
          <w:rtl/>
        </w:rPr>
        <w:t xml:space="preserve"> נכנס לתוקפו רק בתיקון 39 ל</w:t>
      </w:r>
      <w:hyperlink r:id="rId222" w:history="1">
        <w:r w:rsidR="00A7624C" w:rsidRPr="00A7624C">
          <w:rPr>
            <w:rStyle w:val="Hyperlink"/>
            <w:rtl/>
          </w:rPr>
          <w:t>חוק העונשין</w:t>
        </w:r>
      </w:hyperlink>
      <w:r>
        <w:rPr>
          <w:rFonts w:hint="cs"/>
          <w:rtl/>
        </w:rPr>
        <w:t xml:space="preserve">. מכאן שגם כאשר הייתה למחוקק הזדמנות להרחיב את תחולתו של </w:t>
      </w:r>
      <w:hyperlink r:id="rId223" w:history="1">
        <w:r w:rsidR="00323C68" w:rsidRPr="00323C68">
          <w:rPr>
            <w:color w:val="0000FF"/>
            <w:u w:val="single"/>
            <w:rtl/>
          </w:rPr>
          <w:t>סעיף 34כ</w:t>
        </w:r>
      </w:hyperlink>
      <w:r>
        <w:rPr>
          <w:rFonts w:hint="cs"/>
          <w:rtl/>
        </w:rPr>
        <w:t xml:space="preserve">, הוא נמנע מלעשות זאת. </w:t>
      </w:r>
    </w:p>
    <w:p w:rsidR="006A180F" w:rsidRPr="00DA5C4E" w:rsidRDefault="006A180F" w:rsidP="006A180F">
      <w:pPr>
        <w:pStyle w:val="a"/>
        <w:rPr>
          <w:rFonts w:hint="cs"/>
          <w:rtl/>
        </w:rPr>
      </w:pPr>
      <w:r w:rsidRPr="00DA5C4E">
        <w:rPr>
          <w:rFonts w:hint="cs"/>
          <w:rtl/>
        </w:rPr>
        <w:t>36.</w:t>
      </w:r>
      <w:r w:rsidRPr="00DA5C4E">
        <w:rPr>
          <w:rFonts w:hint="cs"/>
          <w:rtl/>
        </w:rPr>
        <w:tab/>
        <w:t>באשר לתכלית הניצבת בבסיסה של ההגנה על הרשות השופטת, הכלל הוא כי מי שביצע עבירה י</w:t>
      </w:r>
      <w:r>
        <w:rPr>
          <w:rFonts w:hint="cs"/>
          <w:rtl/>
        </w:rPr>
        <w:t>י</w:t>
      </w:r>
      <w:r w:rsidRPr="00DA5C4E">
        <w:rPr>
          <w:rFonts w:hint="cs"/>
          <w:rtl/>
        </w:rPr>
        <w:t>שא באחריות</w:t>
      </w:r>
      <w:r w:rsidRPr="00E9359E">
        <w:rPr>
          <w:rFonts w:hint="cs"/>
          <w:rtl/>
        </w:rPr>
        <w:t xml:space="preserve"> </w:t>
      </w:r>
      <w:r w:rsidRPr="00DA5C4E">
        <w:rPr>
          <w:rFonts w:hint="cs"/>
          <w:rtl/>
        </w:rPr>
        <w:t xml:space="preserve">בגינה, </w:t>
      </w:r>
      <w:r>
        <w:rPr>
          <w:rFonts w:hint="cs"/>
          <w:rtl/>
        </w:rPr>
        <w:t>ואילו</w:t>
      </w:r>
      <w:r w:rsidRPr="00DA5C4E">
        <w:rPr>
          <w:rFonts w:hint="cs"/>
          <w:rtl/>
        </w:rPr>
        <w:t xml:space="preserve"> הסייגים לפליליות המעשה </w:t>
      </w:r>
      <w:r>
        <w:rPr>
          <w:rFonts w:hint="eastAsia"/>
          <w:rtl/>
        </w:rPr>
        <w:t>–</w:t>
      </w:r>
      <w:r w:rsidRPr="00DA5C4E">
        <w:rPr>
          <w:rFonts w:hint="cs"/>
          <w:rtl/>
        </w:rPr>
        <w:t xml:space="preserve"> המנויים </w:t>
      </w:r>
      <w:hyperlink r:id="rId224" w:history="1">
        <w:r w:rsidR="00323C68" w:rsidRPr="00323C68">
          <w:rPr>
            <w:color w:val="0000FF"/>
            <w:u w:val="single"/>
            <w:rtl/>
          </w:rPr>
          <w:t>בסימן ב' לפרק ה'1</w:t>
        </w:r>
      </w:hyperlink>
      <w:r w:rsidRPr="00DA5C4E">
        <w:rPr>
          <w:rFonts w:hint="cs"/>
          <w:rtl/>
        </w:rPr>
        <w:t xml:space="preserve"> של </w:t>
      </w:r>
      <w:hyperlink r:id="rId225" w:history="1">
        <w:r w:rsidR="00A7624C" w:rsidRPr="00A7624C">
          <w:rPr>
            <w:rStyle w:val="Hyperlink"/>
            <w:rtl/>
          </w:rPr>
          <w:t>חוק העונשין</w:t>
        </w:r>
      </w:hyperlink>
      <w:r w:rsidRPr="00DA5C4E">
        <w:rPr>
          <w:rFonts w:hint="cs"/>
          <w:rtl/>
        </w:rPr>
        <w:t xml:space="preserve"> </w:t>
      </w:r>
      <w:r>
        <w:rPr>
          <w:rFonts w:hint="eastAsia"/>
          <w:rtl/>
        </w:rPr>
        <w:t>–</w:t>
      </w:r>
      <w:r w:rsidRPr="00DA5C4E">
        <w:rPr>
          <w:rFonts w:hint="cs"/>
          <w:rtl/>
        </w:rPr>
        <w:t xml:space="preserve"> הם כזכור בבחינת החריג. גם ההגנה על הרשות השופטת </w:t>
      </w:r>
      <w:r>
        <w:rPr>
          <w:rFonts w:hint="cs"/>
          <w:rtl/>
        </w:rPr>
        <w:t>היא</w:t>
      </w:r>
      <w:r w:rsidRPr="00DA5C4E">
        <w:rPr>
          <w:rFonts w:hint="cs"/>
          <w:rtl/>
        </w:rPr>
        <w:t xml:space="preserve"> סייג לאחריות הפלילית. המחוקק הכיר בכך שבמקרים החוסים תחת כנפיה של ההגנה הקבועה </w:t>
      </w:r>
      <w:hyperlink r:id="rId226" w:history="1">
        <w:r w:rsidR="00323C68" w:rsidRPr="00323C68">
          <w:rPr>
            <w:color w:val="0000FF"/>
            <w:u w:val="single"/>
            <w:rtl/>
          </w:rPr>
          <w:t>בסעיף 34כ</w:t>
        </w:r>
      </w:hyperlink>
      <w:r w:rsidRPr="00DA5C4E">
        <w:rPr>
          <w:rFonts w:hint="cs"/>
          <w:rtl/>
        </w:rPr>
        <w:t xml:space="preserve"> ל</w:t>
      </w:r>
      <w:hyperlink r:id="rId227" w:history="1">
        <w:r w:rsidR="00A7624C" w:rsidRPr="00A7624C">
          <w:rPr>
            <w:rStyle w:val="Hyperlink"/>
            <w:rtl/>
          </w:rPr>
          <w:t>חוק העונשין</w:t>
        </w:r>
      </w:hyperlink>
      <w:r w:rsidRPr="00DA5C4E">
        <w:rPr>
          <w:rFonts w:hint="cs"/>
          <w:rtl/>
        </w:rPr>
        <w:t xml:space="preserve">, העמדתו של נושא המשרה השיפוטית לדין תהא כרוכה בפגיעה באינטרסים בעלי חשיבות ציבורית, </w:t>
      </w:r>
      <w:r>
        <w:rPr>
          <w:rFonts w:hint="cs"/>
          <w:rtl/>
        </w:rPr>
        <w:t>ולכן</w:t>
      </w:r>
      <w:r w:rsidRPr="00DA5C4E">
        <w:rPr>
          <w:rFonts w:hint="cs"/>
          <w:rtl/>
        </w:rPr>
        <w:t xml:space="preserve"> התועלת </w:t>
      </w:r>
      <w:r>
        <w:rPr>
          <w:rFonts w:hint="cs"/>
          <w:rtl/>
        </w:rPr>
        <w:t xml:space="preserve">שהיא עשויה להצמיח </w:t>
      </w:r>
      <w:r w:rsidRPr="00DA5C4E">
        <w:rPr>
          <w:rFonts w:hint="cs"/>
          <w:rtl/>
        </w:rPr>
        <w:t xml:space="preserve">קטנה במידה רבה מהנזק </w:t>
      </w:r>
      <w:r>
        <w:rPr>
          <w:rFonts w:hint="cs"/>
          <w:rtl/>
        </w:rPr>
        <w:t>הכרוך בה.</w:t>
      </w:r>
      <w:r w:rsidRPr="00DA5C4E">
        <w:rPr>
          <w:rFonts w:hint="cs"/>
          <w:rtl/>
        </w:rPr>
        <w:t xml:space="preserve"> </w:t>
      </w:r>
    </w:p>
    <w:p w:rsidR="00D35634" w:rsidRDefault="006A180F" w:rsidP="00BA5973">
      <w:pPr>
        <w:pStyle w:val="a"/>
        <w:rPr>
          <w:rtl/>
        </w:rPr>
      </w:pPr>
      <w:r w:rsidRPr="00DA5C4E">
        <w:rPr>
          <w:rFonts w:hint="cs"/>
          <w:rtl/>
        </w:rPr>
        <w:t xml:space="preserve">האינטרס המרכזי </w:t>
      </w:r>
      <w:r>
        <w:rPr>
          <w:rFonts w:hint="cs"/>
          <w:rtl/>
        </w:rPr>
        <w:t>ש</w:t>
      </w:r>
      <w:r w:rsidRPr="00DA5C4E">
        <w:rPr>
          <w:rFonts w:hint="cs"/>
          <w:rtl/>
        </w:rPr>
        <w:t xml:space="preserve">עליו נועדה ההגנה הקבועה </w:t>
      </w:r>
      <w:hyperlink r:id="rId228" w:history="1">
        <w:r w:rsidR="00323C68" w:rsidRPr="00323C68">
          <w:rPr>
            <w:color w:val="0000FF"/>
            <w:u w:val="single"/>
            <w:rtl/>
          </w:rPr>
          <w:t>בסעיף 34כ</w:t>
        </w:r>
      </w:hyperlink>
      <w:r w:rsidRPr="00DA5C4E">
        <w:rPr>
          <w:rFonts w:hint="cs"/>
          <w:rtl/>
        </w:rPr>
        <w:t xml:space="preserve"> להגן הוא כי שופט הממלא תפקידו יפעל באורח עצמאי ובלתי תלוי. אינטרס חשוב זה אף מעוגן כע</w:t>
      </w:r>
      <w:r>
        <w:rPr>
          <w:rFonts w:hint="cs"/>
          <w:rtl/>
        </w:rPr>
        <w:t>י</w:t>
      </w:r>
      <w:r w:rsidRPr="00DA5C4E">
        <w:rPr>
          <w:rFonts w:hint="cs"/>
          <w:rtl/>
        </w:rPr>
        <w:t xml:space="preserve">קרון מרכזי </w:t>
      </w:r>
      <w:hyperlink r:id="rId229" w:history="1">
        <w:r w:rsidR="00323C68" w:rsidRPr="00323C68">
          <w:rPr>
            <w:color w:val="0000FF"/>
            <w:u w:val="single"/>
            <w:rtl/>
          </w:rPr>
          <w:t>בסעיף 2</w:t>
        </w:r>
      </w:hyperlink>
      <w:r w:rsidRPr="00DA5C4E">
        <w:rPr>
          <w:rFonts w:hint="cs"/>
          <w:rtl/>
        </w:rPr>
        <w:t xml:space="preserve"> ל</w:t>
      </w:r>
      <w:hyperlink r:id="rId230" w:history="1">
        <w:r w:rsidR="00A7624C" w:rsidRPr="00A7624C">
          <w:rPr>
            <w:rStyle w:val="Hyperlink"/>
            <w:rtl/>
          </w:rPr>
          <w:t>חוק-יסוד: השפיטה</w:t>
        </w:r>
      </w:hyperlink>
      <w:r w:rsidRPr="00DA5C4E">
        <w:rPr>
          <w:rFonts w:hint="cs"/>
          <w:rtl/>
        </w:rPr>
        <w:t>, הקובע כי "</w:t>
      </w:r>
      <w:r w:rsidRPr="00DA5C4E">
        <w:rPr>
          <w:rtl/>
        </w:rPr>
        <w:t>בעניני שפיטה אין מרות על מי שבידו סמכות שפיטה, זולת מרותו של הדין</w:t>
      </w:r>
      <w:r w:rsidRPr="00DA5C4E">
        <w:rPr>
          <w:rFonts w:hint="cs"/>
          <w:rtl/>
        </w:rPr>
        <w:t xml:space="preserve">". חסינותו של נושא המשרה השיפוטית נועדה </w:t>
      </w:r>
    </w:p>
    <w:p w:rsidR="006A180F" w:rsidRPr="00DA5C4E" w:rsidRDefault="00D35634" w:rsidP="00D35634">
      <w:pPr>
        <w:pStyle w:val="a"/>
        <w:ind w:firstLine="0"/>
        <w:rPr>
          <w:rFonts w:hint="cs"/>
          <w:rtl/>
        </w:rPr>
      </w:pPr>
      <w:r>
        <w:rPr>
          <w:rtl/>
        </w:rPr>
        <w:br w:type="page"/>
      </w:r>
      <w:r w:rsidR="006A180F" w:rsidRPr="00DA5C4E">
        <w:rPr>
          <w:rFonts w:hint="cs"/>
          <w:rtl/>
        </w:rPr>
        <w:t xml:space="preserve">אפוא להגן על חופש הפעולה שניתן לו ולהבטיח כי יוכל לפעול בלא מורא ובלא חשש. ההקפדה על עצמאותו של השופט, כמי שכפוף למרותו של הדין בלבד, אף מבטיחה אינטרס חשוב </w:t>
      </w:r>
      <w:r w:rsidR="006A180F">
        <w:rPr>
          <w:rFonts w:hint="cs"/>
          <w:rtl/>
        </w:rPr>
        <w:t>אחר</w:t>
      </w:r>
      <w:r w:rsidR="006A180F" w:rsidRPr="00DA5C4E">
        <w:rPr>
          <w:rFonts w:hint="cs"/>
          <w:rtl/>
        </w:rPr>
        <w:t xml:space="preserve"> והוא כי אמונו של הציבור במערכת בתי המשפט לא י</w:t>
      </w:r>
      <w:r w:rsidR="006A180F">
        <w:rPr>
          <w:rFonts w:hint="cs"/>
          <w:rtl/>
        </w:rPr>
        <w:t>י</w:t>
      </w:r>
      <w:r w:rsidR="006A180F" w:rsidRPr="00DA5C4E">
        <w:rPr>
          <w:rFonts w:hint="cs"/>
          <w:rtl/>
        </w:rPr>
        <w:t>פגע. חסינותם של נושאי משרות שיפוטיות</w:t>
      </w:r>
      <w:r w:rsidR="006A180F">
        <w:rPr>
          <w:rFonts w:hint="cs"/>
          <w:rtl/>
        </w:rPr>
        <w:t xml:space="preserve"> אף מבטיחה </w:t>
      </w:r>
      <w:r w:rsidR="006A180F" w:rsidRPr="00DA5C4E">
        <w:rPr>
          <w:rFonts w:hint="cs"/>
          <w:rtl/>
        </w:rPr>
        <w:t>כי מועמדים מוכשרים וראויים לא יירתעו מלשאוף אליהן בשל החשש כי י</w:t>
      </w:r>
      <w:r w:rsidR="006A180F">
        <w:rPr>
          <w:rFonts w:hint="cs"/>
          <w:rtl/>
        </w:rPr>
        <w:t>י</w:t>
      </w:r>
      <w:r w:rsidR="006A180F" w:rsidRPr="00DA5C4E">
        <w:rPr>
          <w:rFonts w:hint="cs"/>
          <w:rtl/>
        </w:rPr>
        <w:t xml:space="preserve">חשפו לתביעות רבות ויועמדו לדין בשל תלונות סרק של מי שלא השלימו עם הכרעותיהם. יתרה מכך, החסינות הניתנת לנושא המשרה השיפוטית מסייעת במימושו של עקרון סופיות הדיון. היא אינה מאפשרת מצב </w:t>
      </w:r>
      <w:r w:rsidR="006A180F">
        <w:rPr>
          <w:rFonts w:hint="cs"/>
          <w:rtl/>
        </w:rPr>
        <w:t>ש</w:t>
      </w:r>
      <w:r w:rsidR="006A180F" w:rsidRPr="00DA5C4E">
        <w:rPr>
          <w:rFonts w:hint="cs"/>
          <w:rtl/>
        </w:rPr>
        <w:t xml:space="preserve">בו עניין </w:t>
      </w:r>
      <w:r w:rsidR="006A180F">
        <w:rPr>
          <w:rFonts w:hint="cs"/>
          <w:rtl/>
        </w:rPr>
        <w:t xml:space="preserve">אשר </w:t>
      </w:r>
      <w:r w:rsidR="006A180F" w:rsidRPr="00DA5C4E">
        <w:rPr>
          <w:rFonts w:hint="cs"/>
          <w:rtl/>
        </w:rPr>
        <w:t>כבר נדון בפני הערכאות המוסמכות ישוב וי</w:t>
      </w:r>
      <w:r w:rsidR="006A180F">
        <w:rPr>
          <w:rFonts w:hint="cs"/>
          <w:rtl/>
        </w:rPr>
        <w:t>י</w:t>
      </w:r>
      <w:r w:rsidR="006A180F" w:rsidRPr="00DA5C4E">
        <w:rPr>
          <w:rFonts w:hint="cs"/>
          <w:rtl/>
        </w:rPr>
        <w:t>דון בפני שופט או הרכב שופטים אחר במסגרת תביעה שהוגשה נגד השופט רק כדי לזכות בעקיפין בזכות לערעור נוסף (ראו</w:t>
      </w:r>
      <w:r w:rsidR="006A180F">
        <w:rPr>
          <w:rFonts w:hint="cs"/>
          <w:rtl/>
        </w:rPr>
        <w:t>:</w:t>
      </w:r>
      <w:r w:rsidR="006A180F" w:rsidRPr="00DA5C4E">
        <w:rPr>
          <w:rFonts w:hint="cs"/>
          <w:rtl/>
        </w:rPr>
        <w:t xml:space="preserve"> ד"ר ד' אבניאלי </w:t>
      </w:r>
      <w:r w:rsidR="006A180F" w:rsidRPr="00FC2ABF">
        <w:rPr>
          <w:rFonts w:cs="Miriam" w:hint="cs"/>
          <w:szCs w:val="19"/>
          <w:rtl/>
        </w:rPr>
        <w:t>חסינות אישי ציבור</w:t>
      </w:r>
      <w:r w:rsidR="00FC2ABF">
        <w:rPr>
          <w:rFonts w:cs="Miriam" w:hint="cs"/>
          <w:szCs w:val="19"/>
          <w:rtl/>
        </w:rPr>
        <w:t xml:space="preserve"> [</w:t>
      </w:r>
      <w:r w:rsidR="00BA5973">
        <w:rPr>
          <w:rFonts w:cs="Miriam" w:hint="cs"/>
          <w:szCs w:val="19"/>
          <w:rtl/>
        </w:rPr>
        <w:t>30</w:t>
      </w:r>
      <w:r w:rsidR="00FC2ABF">
        <w:rPr>
          <w:rFonts w:cs="Miriam" w:hint="cs"/>
          <w:szCs w:val="19"/>
          <w:rtl/>
        </w:rPr>
        <w:t>]</w:t>
      </w:r>
      <w:r w:rsidR="00FC2ABF">
        <w:rPr>
          <w:rFonts w:hint="cs"/>
          <w:rtl/>
        </w:rPr>
        <w:t xml:space="preserve">, </w:t>
      </w:r>
      <w:r w:rsidR="00FC2ABF">
        <w:rPr>
          <w:rFonts w:cs="Miriam" w:hint="cs"/>
          <w:szCs w:val="19"/>
          <w:rtl/>
        </w:rPr>
        <w:t>בעמ' 35-21</w:t>
      </w:r>
      <w:r w:rsidR="006A180F" w:rsidRPr="00DA5C4E">
        <w:rPr>
          <w:rFonts w:hint="cs"/>
          <w:rtl/>
        </w:rPr>
        <w:t xml:space="preserve"> וכן פרופ' </w:t>
      </w:r>
      <w:r w:rsidR="00BA5973" w:rsidRPr="00DA5C4E">
        <w:rPr>
          <w:rFonts w:hint="cs"/>
          <w:rtl/>
        </w:rPr>
        <w:t>י'</w:t>
      </w:r>
      <w:r w:rsidR="00BA5973">
        <w:rPr>
          <w:rFonts w:hint="eastAsia"/>
          <w:rtl/>
        </w:rPr>
        <w:t> </w:t>
      </w:r>
      <w:hyperlink r:id="rId231" w:history="1">
        <w:r w:rsidR="00AD4D63" w:rsidRPr="00AD4D63">
          <w:rPr>
            <w:rStyle w:val="Hyperlink"/>
            <w:rtl/>
          </w:rPr>
          <w:t xml:space="preserve">גלעד "אוי לדור ששופטיו צריכים </w:t>
        </w:r>
      </w:hyperlink>
      <w:r w:rsidR="006A180F" w:rsidRPr="00FC2ABF">
        <w:rPr>
          <w:rFonts w:hint="cs"/>
          <w:rtl/>
        </w:rPr>
        <w:t xml:space="preserve"> להישפט?"</w:t>
      </w:r>
      <w:r w:rsidR="006A180F" w:rsidRPr="00DA5C4E">
        <w:rPr>
          <w:rFonts w:hint="cs"/>
          <w:rtl/>
        </w:rPr>
        <w:t xml:space="preserve"> (להלן</w:t>
      </w:r>
      <w:r w:rsidR="00BF794A">
        <w:rPr>
          <w:rFonts w:hint="cs"/>
          <w:rtl/>
        </w:rPr>
        <w:t xml:space="preserve"> –</w:t>
      </w:r>
      <w:r w:rsidR="006A180F" w:rsidRPr="00DA5C4E">
        <w:rPr>
          <w:rFonts w:hint="cs"/>
          <w:rtl/>
        </w:rPr>
        <w:t xml:space="preserve"> גלעד</w:t>
      </w:r>
      <w:r w:rsidR="00BF794A">
        <w:rPr>
          <w:rFonts w:hint="cs"/>
          <w:rtl/>
        </w:rPr>
        <w:t xml:space="preserve"> </w:t>
      </w:r>
      <w:r w:rsidR="00BF794A">
        <w:rPr>
          <w:rFonts w:cs="Miriam" w:hint="cs"/>
          <w:szCs w:val="19"/>
          <w:rtl/>
        </w:rPr>
        <w:t>[</w:t>
      </w:r>
      <w:r w:rsidR="00BA5973">
        <w:rPr>
          <w:rFonts w:cs="Miriam" w:hint="cs"/>
          <w:szCs w:val="19"/>
          <w:rtl/>
        </w:rPr>
        <w:t>39</w:t>
      </w:r>
      <w:r w:rsidR="00BF794A">
        <w:rPr>
          <w:rFonts w:cs="Miriam" w:hint="cs"/>
          <w:szCs w:val="19"/>
          <w:rtl/>
        </w:rPr>
        <w:t>]</w:t>
      </w:r>
      <w:r w:rsidR="006A180F" w:rsidRPr="00DA5C4E">
        <w:rPr>
          <w:rFonts w:hint="cs"/>
          <w:rtl/>
        </w:rPr>
        <w:t xml:space="preserve">)). </w:t>
      </w:r>
    </w:p>
    <w:p w:rsidR="006A180F" w:rsidRPr="00DA5C4E" w:rsidRDefault="006A180F" w:rsidP="00166A59">
      <w:pPr>
        <w:pStyle w:val="a"/>
        <w:rPr>
          <w:rFonts w:hint="cs"/>
          <w:rtl/>
        </w:rPr>
      </w:pPr>
      <w:r w:rsidRPr="00DA5C4E">
        <w:rPr>
          <w:rFonts w:hint="cs"/>
          <w:rtl/>
        </w:rPr>
        <w:t xml:space="preserve">התכליות הניצבות בבסיסה של ההגנה על הרשות השופטת, אשר עליהן עמדתי עד כה, אינן מצדיקות בהכרח </w:t>
      </w:r>
      <w:r>
        <w:rPr>
          <w:rFonts w:hint="cs"/>
          <w:rtl/>
        </w:rPr>
        <w:t>ביצוע</w:t>
      </w:r>
      <w:r w:rsidRPr="00DA5C4E">
        <w:rPr>
          <w:rFonts w:hint="cs"/>
          <w:rtl/>
        </w:rPr>
        <w:t xml:space="preserve"> הבחנה בין נושא משרה שיפוטית </w:t>
      </w:r>
      <w:r>
        <w:rPr>
          <w:rFonts w:hint="cs"/>
          <w:rtl/>
        </w:rPr>
        <w:t>שהוא</w:t>
      </w:r>
      <w:r w:rsidRPr="00DA5C4E">
        <w:rPr>
          <w:rFonts w:hint="cs"/>
          <w:rtl/>
        </w:rPr>
        <w:t xml:space="preserve"> אורגן של הרשות השופטת לבין בורר. כך למשל ניתן לומר כי האינטרס בדבר אי</w:t>
      </w:r>
      <w:r w:rsidRPr="00BF794A">
        <w:rPr>
          <w:rFonts w:hint="cs"/>
          <w:position w:val="4"/>
          <w:rtl/>
        </w:rPr>
        <w:t>-</w:t>
      </w:r>
      <w:r w:rsidRPr="00DA5C4E">
        <w:rPr>
          <w:rFonts w:hint="cs"/>
          <w:rtl/>
        </w:rPr>
        <w:t xml:space="preserve">תלותו של נושא המשרה </w:t>
      </w:r>
      <w:r>
        <w:rPr>
          <w:rFonts w:hint="cs"/>
          <w:rtl/>
        </w:rPr>
        <w:t xml:space="preserve">השיפוטית כוחו יפה </w:t>
      </w:r>
      <w:r w:rsidRPr="00DA5C4E">
        <w:rPr>
          <w:rFonts w:hint="cs"/>
          <w:rtl/>
        </w:rPr>
        <w:t>גם כשמדובר בבורר. אכן, אמונו של הציבור במוסד הבוררות אף הוא אינטרס בר הגנה. פתרון סכסוכים בדרך של בוררות עשוי להיות, בנסיבות המתאימות לכך, יעיל ומהיר מפתרונו של הסכסוך במסגרת התדיינות בבית משפט</w:t>
      </w:r>
      <w:r>
        <w:rPr>
          <w:rFonts w:hint="cs"/>
          <w:rtl/>
        </w:rPr>
        <w:t>.</w:t>
      </w:r>
      <w:r w:rsidRPr="00DA5C4E">
        <w:rPr>
          <w:rFonts w:hint="cs"/>
          <w:rtl/>
        </w:rPr>
        <w:t xml:space="preserve"> יש </w:t>
      </w:r>
      <w:r>
        <w:rPr>
          <w:rFonts w:hint="cs"/>
          <w:rtl/>
        </w:rPr>
        <w:t xml:space="preserve">אפוא עניין </w:t>
      </w:r>
      <w:r w:rsidRPr="00DA5C4E">
        <w:rPr>
          <w:rFonts w:hint="cs"/>
          <w:rtl/>
        </w:rPr>
        <w:t xml:space="preserve">להבטיח כי צדדים לסכסוך לא יחששו לבחור בדרך של בוררות </w:t>
      </w:r>
      <w:r>
        <w:rPr>
          <w:rFonts w:hint="cs"/>
          <w:rtl/>
        </w:rPr>
        <w:t xml:space="preserve">מקום שהם סבורים כי דרך זו יעילה יותר לפתרונן של מחלוקות. </w:t>
      </w:r>
      <w:r w:rsidRPr="00DA5C4E">
        <w:rPr>
          <w:rFonts w:hint="cs"/>
          <w:rtl/>
        </w:rPr>
        <w:t>ועוד, כשמדובר בבוררות, עקרון סופיות הדיון אף מקבל משנה תוקף. ע</w:t>
      </w:r>
      <w:r>
        <w:rPr>
          <w:rFonts w:hint="cs"/>
          <w:rtl/>
        </w:rPr>
        <w:t>י</w:t>
      </w:r>
      <w:r w:rsidRPr="00DA5C4E">
        <w:rPr>
          <w:rFonts w:hint="cs"/>
          <w:rtl/>
        </w:rPr>
        <w:t>קרון זה עובר כחוט השני ד</w:t>
      </w:r>
      <w:r>
        <w:rPr>
          <w:rFonts w:hint="cs"/>
          <w:rtl/>
        </w:rPr>
        <w:t>רך</w:t>
      </w:r>
      <w:r w:rsidRPr="00DA5C4E">
        <w:rPr>
          <w:rFonts w:hint="cs"/>
          <w:rtl/>
        </w:rPr>
        <w:t xml:space="preserve"> הוראותיו של </w:t>
      </w:r>
      <w:hyperlink r:id="rId232" w:history="1">
        <w:r w:rsidR="00A7624C" w:rsidRPr="00A7624C">
          <w:rPr>
            <w:rStyle w:val="Hyperlink"/>
            <w:rtl/>
          </w:rPr>
          <w:t>חוק הבוררות</w:t>
        </w:r>
      </w:hyperlink>
      <w:r w:rsidRPr="00DA5C4E">
        <w:rPr>
          <w:rFonts w:hint="cs"/>
          <w:rtl/>
        </w:rPr>
        <w:t>. יש להדגיש כי פסק בורר מחייב את הצדדים לבוררות בלי שניתנת להם זכות לערער עליו; התערבות בתי המשפט בפסק הבורר היא מצומצמת ביותר, והדרך היחידה לנסות למנוע את אכיפתו של הפסק היא על דרך הגשת בקשה לביטולו מכוח אחת העילות המפורטות ב</w:t>
      </w:r>
      <w:hyperlink r:id="rId233" w:history="1">
        <w:r w:rsidR="00A7624C" w:rsidRPr="00A7624C">
          <w:rPr>
            <w:rStyle w:val="Hyperlink"/>
            <w:rtl/>
          </w:rPr>
          <w:t>חוק הבוררות</w:t>
        </w:r>
      </w:hyperlink>
      <w:r w:rsidRPr="00DA5C4E">
        <w:rPr>
          <w:rFonts w:hint="cs"/>
          <w:rtl/>
        </w:rPr>
        <w:t xml:space="preserve"> (ראו</w:t>
      </w:r>
      <w:r>
        <w:rPr>
          <w:rFonts w:hint="cs"/>
          <w:rtl/>
        </w:rPr>
        <w:t>:</w:t>
      </w:r>
      <w:r w:rsidRPr="00DA5C4E">
        <w:rPr>
          <w:rFonts w:hint="cs"/>
          <w:rtl/>
        </w:rPr>
        <w:t xml:space="preserve"> סעיפים </w:t>
      </w:r>
      <w:hyperlink r:id="rId234" w:history="1">
        <w:r w:rsidR="00323C68" w:rsidRPr="00323C68">
          <w:rPr>
            <w:color w:val="0000FF"/>
            <w:u w:val="single"/>
            <w:rtl/>
          </w:rPr>
          <w:t>23</w:t>
        </w:r>
      </w:hyperlink>
      <w:r w:rsidRPr="00DA5C4E">
        <w:rPr>
          <w:rFonts w:hint="cs"/>
          <w:rtl/>
        </w:rPr>
        <w:t xml:space="preserve"> ו-</w:t>
      </w:r>
      <w:hyperlink r:id="rId235" w:history="1">
        <w:r w:rsidR="00323C68" w:rsidRPr="00323C68">
          <w:rPr>
            <w:color w:val="0000FF"/>
            <w:u w:val="single"/>
            <w:rtl/>
          </w:rPr>
          <w:t>24</w:t>
        </w:r>
      </w:hyperlink>
      <w:r w:rsidRPr="00DA5C4E">
        <w:rPr>
          <w:rFonts w:hint="cs"/>
          <w:rtl/>
        </w:rPr>
        <w:t xml:space="preserve"> לחוק הבוררות</w:t>
      </w:r>
      <w:r w:rsidR="00BF794A">
        <w:rPr>
          <w:rFonts w:hint="cs"/>
          <w:rtl/>
        </w:rPr>
        <w:t>,</w:t>
      </w:r>
      <w:r w:rsidRPr="00DA5C4E">
        <w:rPr>
          <w:rFonts w:hint="cs"/>
          <w:rtl/>
        </w:rPr>
        <w:t xml:space="preserve"> תשכ"ח-1968 וכן פרופ' ס' אוטולנגי </w:t>
      </w:r>
      <w:r w:rsidRPr="00BF794A">
        <w:rPr>
          <w:rFonts w:cs="Miriam" w:hint="cs"/>
          <w:szCs w:val="19"/>
          <w:rtl/>
        </w:rPr>
        <w:t xml:space="preserve">בוררות </w:t>
      </w:r>
      <w:r w:rsidR="00BF794A">
        <w:rPr>
          <w:rFonts w:hint="eastAsia"/>
          <w:rtl/>
        </w:rPr>
        <w:t xml:space="preserve">– </w:t>
      </w:r>
      <w:r w:rsidRPr="00BF794A">
        <w:rPr>
          <w:rFonts w:cs="Miriam" w:hint="cs"/>
          <w:szCs w:val="19"/>
          <w:rtl/>
        </w:rPr>
        <w:t>דין ונוהל</w:t>
      </w:r>
      <w:r w:rsidR="00DD38BF">
        <w:rPr>
          <w:rFonts w:cs="Miriam" w:hint="cs"/>
          <w:szCs w:val="19"/>
          <w:rtl/>
        </w:rPr>
        <w:t xml:space="preserve"> </w:t>
      </w:r>
      <w:r w:rsidR="00DD38BF" w:rsidRPr="00DA5C4E">
        <w:rPr>
          <w:rFonts w:hint="cs"/>
          <w:rtl/>
        </w:rPr>
        <w:t>(להלן</w:t>
      </w:r>
      <w:r w:rsidR="00DD38BF">
        <w:rPr>
          <w:rFonts w:hint="cs"/>
          <w:rtl/>
        </w:rPr>
        <w:t xml:space="preserve"> –</w:t>
      </w:r>
      <w:r w:rsidR="00DD38BF" w:rsidRPr="00DA5C4E">
        <w:rPr>
          <w:rFonts w:hint="cs"/>
          <w:rtl/>
        </w:rPr>
        <w:t xml:space="preserve"> </w:t>
      </w:r>
      <w:r w:rsidR="00DD38BF" w:rsidRPr="00DD38BF">
        <w:rPr>
          <w:rFonts w:hint="cs"/>
          <w:rtl/>
        </w:rPr>
        <w:t>אוטולנגי</w:t>
      </w:r>
      <w:r w:rsidR="00DD38BF">
        <w:rPr>
          <w:rFonts w:cs="Miriam" w:hint="cs"/>
          <w:szCs w:val="19"/>
          <w:rtl/>
        </w:rPr>
        <w:t xml:space="preserve"> [</w:t>
      </w:r>
      <w:r w:rsidR="00BA5973">
        <w:rPr>
          <w:rFonts w:cs="Miriam" w:hint="cs"/>
          <w:szCs w:val="19"/>
          <w:rtl/>
        </w:rPr>
        <w:t>31</w:t>
      </w:r>
      <w:r w:rsidR="00DD38BF">
        <w:rPr>
          <w:rFonts w:cs="Miriam" w:hint="cs"/>
          <w:szCs w:val="19"/>
          <w:rtl/>
        </w:rPr>
        <w:t>]</w:t>
      </w:r>
      <w:r w:rsidR="00DD38BF">
        <w:rPr>
          <w:rFonts w:hint="cs"/>
          <w:rtl/>
        </w:rPr>
        <w:t>)</w:t>
      </w:r>
      <w:r w:rsidRPr="00DA5C4E">
        <w:rPr>
          <w:rFonts w:hint="cs"/>
          <w:rtl/>
        </w:rPr>
        <w:t>,</w:t>
      </w:r>
      <w:r w:rsidR="00DD38BF">
        <w:rPr>
          <w:rFonts w:hint="cs"/>
          <w:rtl/>
        </w:rPr>
        <w:t xml:space="preserve"> </w:t>
      </w:r>
      <w:r w:rsidR="00DD38BF">
        <w:rPr>
          <w:rFonts w:cs="Miriam" w:hint="cs"/>
          <w:szCs w:val="19"/>
          <w:rtl/>
        </w:rPr>
        <w:t>בעמ' 470-425</w:t>
      </w:r>
      <w:r w:rsidRPr="00DA5C4E">
        <w:rPr>
          <w:rFonts w:hint="cs"/>
          <w:rtl/>
        </w:rPr>
        <w:t xml:space="preserve">). </w:t>
      </w:r>
    </w:p>
    <w:p w:rsidR="006A180F" w:rsidRPr="00DA5C4E" w:rsidRDefault="006A180F" w:rsidP="006A180F">
      <w:pPr>
        <w:pStyle w:val="a"/>
        <w:rPr>
          <w:rFonts w:hint="cs"/>
          <w:rtl/>
        </w:rPr>
      </w:pPr>
      <w:r>
        <w:rPr>
          <w:rFonts w:hint="cs"/>
          <w:rtl/>
        </w:rPr>
        <w:t>37.</w:t>
      </w:r>
      <w:r w:rsidRPr="00DA5C4E">
        <w:rPr>
          <w:rFonts w:hint="cs"/>
          <w:rtl/>
        </w:rPr>
        <w:tab/>
        <w:t xml:space="preserve">התחשבות בשיקולים אלה לבדם הייתה עשויה להוביל לגישה </w:t>
      </w:r>
      <w:r>
        <w:rPr>
          <w:rFonts w:hint="cs"/>
          <w:rtl/>
        </w:rPr>
        <w:t>ש</w:t>
      </w:r>
      <w:r w:rsidRPr="00DA5C4E">
        <w:rPr>
          <w:rFonts w:hint="cs"/>
          <w:rtl/>
        </w:rPr>
        <w:t xml:space="preserve">לפיה ההגנה על רשות שופטת צריכה לחול על אורגן של הרשות השופטת ועל בורר כאחד. אולם לקדרת השיקולים יש להוסיף </w:t>
      </w:r>
      <w:r>
        <w:rPr>
          <w:rFonts w:hint="cs"/>
          <w:rtl/>
        </w:rPr>
        <w:t xml:space="preserve">עוד </w:t>
      </w:r>
      <w:r w:rsidRPr="00DA5C4E">
        <w:rPr>
          <w:rFonts w:hint="cs"/>
          <w:rtl/>
        </w:rPr>
        <w:t xml:space="preserve">שיקולים </w:t>
      </w:r>
      <w:r>
        <w:rPr>
          <w:rFonts w:hint="cs"/>
          <w:rtl/>
        </w:rPr>
        <w:t>ה</w:t>
      </w:r>
      <w:r w:rsidRPr="00DA5C4E">
        <w:rPr>
          <w:rFonts w:hint="cs"/>
          <w:rtl/>
        </w:rPr>
        <w:t>מהווים את הטעם לאי</w:t>
      </w:r>
      <w:r w:rsidRPr="00DD38BF">
        <w:rPr>
          <w:rFonts w:hint="cs"/>
          <w:position w:val="4"/>
          <w:rtl/>
        </w:rPr>
        <w:t>-</w:t>
      </w:r>
      <w:r w:rsidRPr="00DA5C4E">
        <w:rPr>
          <w:rFonts w:hint="cs"/>
          <w:rtl/>
        </w:rPr>
        <w:t xml:space="preserve">הכללתו של הבורר בגדרה של ההגנה הקבועה </w:t>
      </w:r>
      <w:hyperlink r:id="rId236" w:history="1">
        <w:r w:rsidR="00323C68" w:rsidRPr="00323C68">
          <w:rPr>
            <w:color w:val="0000FF"/>
            <w:u w:val="single"/>
            <w:rtl/>
          </w:rPr>
          <w:t>בסעיף 34כ</w:t>
        </w:r>
      </w:hyperlink>
      <w:r w:rsidRPr="00DA5C4E">
        <w:rPr>
          <w:rFonts w:hint="cs"/>
          <w:rtl/>
        </w:rPr>
        <w:t xml:space="preserve"> ל</w:t>
      </w:r>
      <w:hyperlink r:id="rId237" w:history="1">
        <w:r w:rsidR="00A7624C" w:rsidRPr="00A7624C">
          <w:rPr>
            <w:rStyle w:val="Hyperlink"/>
            <w:rtl/>
          </w:rPr>
          <w:t>חוק העונשין</w:t>
        </w:r>
      </w:hyperlink>
      <w:r w:rsidRPr="00DA5C4E">
        <w:rPr>
          <w:rFonts w:hint="cs"/>
          <w:rtl/>
        </w:rPr>
        <w:t xml:space="preserve">. </w:t>
      </w:r>
    </w:p>
    <w:p w:rsidR="006A180F" w:rsidRPr="00DA5C4E" w:rsidRDefault="00D35634" w:rsidP="00DD38BF">
      <w:pPr>
        <w:pStyle w:val="a"/>
        <w:rPr>
          <w:rFonts w:hint="cs"/>
          <w:rtl/>
        </w:rPr>
      </w:pPr>
      <w:r>
        <w:rPr>
          <w:rtl/>
        </w:rPr>
        <w:br w:type="page"/>
      </w:r>
      <w:r w:rsidR="006A180F" w:rsidRPr="00DA5C4E">
        <w:rPr>
          <w:rFonts w:hint="cs"/>
          <w:rtl/>
        </w:rPr>
        <w:t xml:space="preserve">כאמור, ההגנה </w:t>
      </w:r>
      <w:hyperlink r:id="rId238" w:history="1">
        <w:r w:rsidR="00323C68" w:rsidRPr="00323C68">
          <w:rPr>
            <w:color w:val="0000FF"/>
            <w:u w:val="single"/>
            <w:rtl/>
          </w:rPr>
          <w:t>בסעיף 34כ</w:t>
        </w:r>
      </w:hyperlink>
      <w:r w:rsidR="006A180F" w:rsidRPr="00DA5C4E">
        <w:rPr>
          <w:rFonts w:hint="cs"/>
          <w:rtl/>
        </w:rPr>
        <w:t xml:space="preserve"> </w:t>
      </w:r>
      <w:r w:rsidR="006A180F">
        <w:rPr>
          <w:rFonts w:hint="cs"/>
          <w:rtl/>
        </w:rPr>
        <w:t>היא</w:t>
      </w:r>
      <w:r w:rsidR="006A180F" w:rsidRPr="00DA5C4E">
        <w:rPr>
          <w:rFonts w:hint="cs"/>
          <w:rtl/>
        </w:rPr>
        <w:t xml:space="preserve"> סייג לאחריות הפלילית, ומטבע הדברים נעשית פרשנותם של סייגים אלה על דרך הצמצום. החלתה של ה"הגנה על רשות שופטת" גם על בוררים עלולה להביא לפריצתו של הסייג באופן שאינו עולה בקנה אחד עם הפרשנות שיש ליתן לחריגים מסוגו. במה דברים אמורים</w:t>
      </w:r>
      <w:r w:rsidR="006A180F">
        <w:rPr>
          <w:rFonts w:hint="cs"/>
          <w:rtl/>
        </w:rPr>
        <w:t>?</w:t>
      </w:r>
      <w:r w:rsidR="006A180F" w:rsidRPr="00DA5C4E">
        <w:rPr>
          <w:rFonts w:hint="cs"/>
          <w:rtl/>
        </w:rPr>
        <w:t xml:space="preserve"> החלתה של ההגנה </w:t>
      </w:r>
      <w:hyperlink r:id="rId239" w:history="1">
        <w:r w:rsidR="00323C68" w:rsidRPr="00323C68">
          <w:rPr>
            <w:color w:val="0000FF"/>
            <w:u w:val="single"/>
            <w:rtl/>
          </w:rPr>
          <w:t>בסעיף 34כ</w:t>
        </w:r>
      </w:hyperlink>
      <w:r w:rsidR="006A180F" w:rsidRPr="00DA5C4E">
        <w:rPr>
          <w:rFonts w:hint="cs"/>
          <w:rtl/>
        </w:rPr>
        <w:t xml:space="preserve"> על אורגנים של הרשות השופטת, ובעיקר על שופטים, ממילא אינה מחסנת אותם כליל מפיקוח ו</w:t>
      </w:r>
      <w:r w:rsidR="006A180F">
        <w:rPr>
          <w:rFonts w:hint="cs"/>
          <w:rtl/>
        </w:rPr>
        <w:t>מ</w:t>
      </w:r>
      <w:r w:rsidR="006A180F" w:rsidRPr="00DA5C4E">
        <w:rPr>
          <w:rFonts w:hint="cs"/>
          <w:rtl/>
        </w:rPr>
        <w:t xml:space="preserve">ביקורת בגין דרך התנהלותם במסגרת תפקידם, </w:t>
      </w:r>
      <w:r w:rsidR="006A180F">
        <w:rPr>
          <w:rFonts w:hint="cs"/>
          <w:rtl/>
        </w:rPr>
        <w:t xml:space="preserve">ואילו </w:t>
      </w:r>
      <w:r w:rsidR="006A180F" w:rsidRPr="00DA5C4E">
        <w:rPr>
          <w:rFonts w:hint="cs"/>
          <w:rtl/>
        </w:rPr>
        <w:t>שעה שמדובר בבוררים</w:t>
      </w:r>
      <w:r w:rsidR="006A180F" w:rsidRPr="00DA5C4E" w:rsidDel="005678FD">
        <w:rPr>
          <w:rFonts w:hint="cs"/>
          <w:rtl/>
        </w:rPr>
        <w:t xml:space="preserve"> </w:t>
      </w:r>
      <w:r w:rsidR="006A180F">
        <w:rPr>
          <w:rFonts w:hint="cs"/>
          <w:rtl/>
        </w:rPr>
        <w:t xml:space="preserve">אין קיימים </w:t>
      </w:r>
      <w:r w:rsidR="006A180F" w:rsidRPr="00DA5C4E">
        <w:rPr>
          <w:rFonts w:hint="cs"/>
          <w:rtl/>
        </w:rPr>
        <w:t xml:space="preserve">פיקוח וביקורת מקבילים. נזכיר כי כל שופט </w:t>
      </w:r>
      <w:r w:rsidR="006A180F">
        <w:rPr>
          <w:rFonts w:hint="eastAsia"/>
          <w:rtl/>
        </w:rPr>
        <w:t>–</w:t>
      </w:r>
      <w:r w:rsidR="006A180F" w:rsidRPr="00DA5C4E">
        <w:rPr>
          <w:rFonts w:hint="cs"/>
          <w:rtl/>
        </w:rPr>
        <w:t xml:space="preserve"> בהיותו עובד מדינה </w:t>
      </w:r>
      <w:r w:rsidR="006A180F">
        <w:rPr>
          <w:rFonts w:hint="eastAsia"/>
          <w:rtl/>
        </w:rPr>
        <w:t>–</w:t>
      </w:r>
      <w:r w:rsidR="006A180F" w:rsidRPr="00DA5C4E">
        <w:rPr>
          <w:rFonts w:hint="cs"/>
          <w:rtl/>
        </w:rPr>
        <w:t xml:space="preserve"> יהיה כפוף בהכרח לכללי השירות הציבורי. ועוד, נראה כי המחוקק חזה אפשרות כי גם שופט יחטא בפלילים במסגרת תפקידו, והקים מוסדות פיקוח אלטרנטיביים וכללים מיוחדים למצבים מעין אלה. אזכיר בהקשר זה כי שופט שביצע עבירה במסגרת תפקידו יעמוד לדין בפני בית הדין המשמעתי לשופטים, אשר מוסמך לנקוט נגד השופט אמצעי משמעת מגוונים, הכוללים גם העברה מכהונה (ראו </w:t>
      </w:r>
      <w:hyperlink r:id="rId240" w:history="1">
        <w:r w:rsidR="00323C68" w:rsidRPr="00323C68">
          <w:rPr>
            <w:color w:val="0000FF"/>
            <w:u w:val="single"/>
            <w:rtl/>
          </w:rPr>
          <w:t>סעיפים 21-17</w:t>
        </w:r>
      </w:hyperlink>
      <w:r w:rsidR="006A180F" w:rsidRPr="00DA5C4E">
        <w:rPr>
          <w:rFonts w:hint="cs"/>
          <w:rtl/>
        </w:rPr>
        <w:t xml:space="preserve"> ל</w:t>
      </w:r>
      <w:hyperlink r:id="rId241" w:history="1">
        <w:r w:rsidR="00A7624C" w:rsidRPr="00A7624C">
          <w:rPr>
            <w:rStyle w:val="Hyperlink"/>
            <w:rtl/>
          </w:rPr>
          <w:t>חוק בתי המשפט</w:t>
        </w:r>
      </w:hyperlink>
      <w:r w:rsidR="004C5B7C" w:rsidRPr="00A7624C">
        <w:rPr>
          <w:rtl/>
        </w:rPr>
        <w:t xml:space="preserve"> [נוסח משולב]</w:t>
      </w:r>
      <w:r w:rsidR="006A180F" w:rsidRPr="00DA5C4E">
        <w:rPr>
          <w:rFonts w:hint="cs"/>
          <w:rtl/>
        </w:rPr>
        <w:t xml:space="preserve">, תשמ"ד-1984). זאת ועוד, </w:t>
      </w:r>
      <w:hyperlink r:id="rId242" w:history="1">
        <w:r w:rsidR="00A7624C" w:rsidRPr="00A7624C">
          <w:rPr>
            <w:rStyle w:val="Hyperlink"/>
            <w:rtl/>
          </w:rPr>
          <w:t>חוק נציב תלונות הציבור על שופטים</w:t>
        </w:r>
      </w:hyperlink>
      <w:r w:rsidR="006A180F" w:rsidRPr="00DA5C4E">
        <w:rPr>
          <w:rFonts w:hint="cs"/>
          <w:rtl/>
        </w:rPr>
        <w:t xml:space="preserve">, תשס"ב-2002 יצר אפיק נוסף לפיקוח על התנהלותו של השופט. </w:t>
      </w:r>
      <w:hyperlink r:id="rId243" w:history="1">
        <w:r w:rsidR="009E75A0" w:rsidRPr="009E75A0">
          <w:rPr>
            <w:color w:val="0000FF"/>
            <w:u w:val="single"/>
            <w:rtl/>
          </w:rPr>
          <w:t>סעיף 14</w:t>
        </w:r>
      </w:hyperlink>
      <w:r w:rsidR="006A180F" w:rsidRPr="00DA5C4E">
        <w:rPr>
          <w:rFonts w:hint="cs"/>
          <w:rtl/>
        </w:rPr>
        <w:t xml:space="preserve"> לחוק זה קובע כי כל אדם הרואה עצמו נפגע בשל התנהגותו של שופט במסגרת תפקידו, רשאי להגיש תלונה לנציב תלונות הציבור על שופטים. ברי כי מוסדות דומים אינם קיימים בעניינם של בוררים, ולהחלתה של ההגנה הקבועה </w:t>
      </w:r>
      <w:hyperlink r:id="rId244" w:history="1">
        <w:r w:rsidR="009E75A0" w:rsidRPr="009E75A0">
          <w:rPr>
            <w:color w:val="0000FF"/>
            <w:u w:val="single"/>
            <w:rtl/>
          </w:rPr>
          <w:t>בסעיף 34כ</w:t>
        </w:r>
      </w:hyperlink>
      <w:r w:rsidR="006A180F" w:rsidRPr="00DA5C4E">
        <w:rPr>
          <w:rFonts w:hint="cs"/>
          <w:rtl/>
        </w:rPr>
        <w:t xml:space="preserve"> גם על בוררים עשויה להיות משמעות מרחיקת לכת של התרת הרסן בכל הנוגע לת</w:t>
      </w:r>
      <w:r w:rsidR="006A180F">
        <w:rPr>
          <w:rFonts w:hint="cs"/>
          <w:rtl/>
        </w:rPr>
        <w:t>ו</w:t>
      </w:r>
      <w:r w:rsidR="006A180F" w:rsidRPr="00DA5C4E">
        <w:rPr>
          <w:rFonts w:hint="cs"/>
          <w:rtl/>
        </w:rPr>
        <w:t xml:space="preserve">כניהם של הסכמי בוררות. אם תוסיף לכך את העובדה כי </w:t>
      </w:r>
      <w:hyperlink r:id="rId245" w:history="1">
        <w:r w:rsidR="00A7624C" w:rsidRPr="00A7624C">
          <w:rPr>
            <w:rStyle w:val="Hyperlink"/>
            <w:rtl/>
          </w:rPr>
          <w:t>חוק הבוררות</w:t>
        </w:r>
      </w:hyperlink>
      <w:r w:rsidR="006A180F" w:rsidRPr="00DA5C4E">
        <w:rPr>
          <w:rFonts w:hint="cs"/>
          <w:rtl/>
        </w:rPr>
        <w:t xml:space="preserve"> אינו מציב מגבלה כלשהי באשר לזהותם של מי שיוכלו לשמש בוררים (בורר הוא כל "מי שנתמנה בהסכם בוררות או על פיו"), כי אז בהחלתה של ההגנה </w:t>
      </w:r>
      <w:hyperlink r:id="rId246" w:history="1">
        <w:r w:rsidR="009E75A0" w:rsidRPr="009E75A0">
          <w:rPr>
            <w:color w:val="0000FF"/>
            <w:u w:val="single"/>
            <w:rtl/>
          </w:rPr>
          <w:t>בסעיף 34כ</w:t>
        </w:r>
      </w:hyperlink>
      <w:r w:rsidR="006A180F" w:rsidRPr="00DA5C4E">
        <w:rPr>
          <w:rFonts w:hint="cs"/>
          <w:rtl/>
        </w:rPr>
        <w:t xml:space="preserve"> על בורר נמצאנו פורצים את גדר ההגנה</w:t>
      </w:r>
      <w:r w:rsidR="006A180F">
        <w:rPr>
          <w:rFonts w:hint="cs"/>
          <w:rtl/>
        </w:rPr>
        <w:t>,</w:t>
      </w:r>
      <w:r w:rsidR="006A180F" w:rsidRPr="00DA5C4E">
        <w:rPr>
          <w:rFonts w:hint="cs"/>
          <w:rtl/>
        </w:rPr>
        <w:t xml:space="preserve"> </w:t>
      </w:r>
      <w:r w:rsidR="006A180F">
        <w:rPr>
          <w:rFonts w:hint="cs"/>
          <w:rtl/>
        </w:rPr>
        <w:t>שהיא</w:t>
      </w:r>
      <w:r w:rsidR="006A180F" w:rsidRPr="00DA5C4E">
        <w:rPr>
          <w:rFonts w:hint="cs"/>
          <w:rtl/>
        </w:rPr>
        <w:t xml:space="preserve"> סייג לאחריות הפלילית, בדרך ובהיקף </w:t>
      </w:r>
      <w:r w:rsidR="006A180F">
        <w:rPr>
          <w:rFonts w:hint="cs"/>
          <w:rtl/>
        </w:rPr>
        <w:t xml:space="preserve">הטומנים בחובם </w:t>
      </w:r>
      <w:r w:rsidR="006A180F" w:rsidRPr="00DA5C4E">
        <w:rPr>
          <w:rFonts w:hint="cs"/>
          <w:rtl/>
        </w:rPr>
        <w:t>פגיעה אנושה באינטרס הציבור.</w:t>
      </w:r>
    </w:p>
    <w:p w:rsidR="006A180F" w:rsidRPr="00DA5C4E" w:rsidRDefault="006A180F" w:rsidP="00DD38BF">
      <w:pPr>
        <w:pStyle w:val="a"/>
        <w:rPr>
          <w:rFonts w:hint="cs"/>
          <w:rtl/>
        </w:rPr>
      </w:pPr>
      <w:r w:rsidRPr="00BA5973">
        <w:rPr>
          <w:rFonts w:hint="cs"/>
          <w:spacing w:val="-2"/>
          <w:rtl/>
        </w:rPr>
        <w:t>יתרה מכך, הליכים שיפוטיים המתנהלים בפני מוסדותיה של הרשות השופטת הם ככלל הליכים פומביים, הנתונים לביקורת מצד הציבור ואף לביקורת שיפוטית, אולם לא כך הוא כשמדובר בהליכי בוררות. הליכים אלה מעוצבים על פי רצון הצדדים, ולרוב הם מתנהלים בחדרי חדרים והרחק מעינו של הציבור (אוטולנגי</w:t>
      </w:r>
      <w:r w:rsidR="00DD38BF" w:rsidRPr="00BA5973">
        <w:rPr>
          <w:rFonts w:hint="cs"/>
          <w:spacing w:val="-2"/>
          <w:rtl/>
        </w:rPr>
        <w:t xml:space="preserve"> </w:t>
      </w:r>
      <w:r w:rsidR="00DD38BF" w:rsidRPr="00BA5973">
        <w:rPr>
          <w:rFonts w:cs="Miriam" w:hint="cs"/>
          <w:spacing w:val="-2"/>
          <w:szCs w:val="19"/>
          <w:rtl/>
        </w:rPr>
        <w:t>[</w:t>
      </w:r>
      <w:r w:rsidR="00BA5973" w:rsidRPr="00BA5973">
        <w:rPr>
          <w:rFonts w:cs="Miriam" w:hint="cs"/>
          <w:spacing w:val="-2"/>
          <w:szCs w:val="19"/>
          <w:rtl/>
        </w:rPr>
        <w:t>31</w:t>
      </w:r>
      <w:r w:rsidR="00DD38BF" w:rsidRPr="00BA5973">
        <w:rPr>
          <w:rFonts w:cs="Miriam" w:hint="cs"/>
          <w:spacing w:val="-2"/>
          <w:szCs w:val="19"/>
          <w:rtl/>
        </w:rPr>
        <w:t>]</w:t>
      </w:r>
      <w:r w:rsidRPr="00BA5973">
        <w:rPr>
          <w:rFonts w:hint="cs"/>
          <w:spacing w:val="-2"/>
          <w:rtl/>
        </w:rPr>
        <w:t>,</w:t>
      </w:r>
      <w:r w:rsidR="00DD38BF" w:rsidRPr="00BA5973">
        <w:rPr>
          <w:rFonts w:hint="cs"/>
          <w:spacing w:val="-2"/>
          <w:rtl/>
        </w:rPr>
        <w:t xml:space="preserve"> </w:t>
      </w:r>
      <w:r w:rsidR="00DD38BF" w:rsidRPr="00BA5973">
        <w:rPr>
          <w:rFonts w:cs="Miriam" w:hint="cs"/>
          <w:spacing w:val="-2"/>
          <w:szCs w:val="19"/>
          <w:rtl/>
        </w:rPr>
        <w:t>בעמ' 313-312</w:t>
      </w:r>
      <w:r w:rsidRPr="00BA5973">
        <w:rPr>
          <w:rFonts w:hint="cs"/>
          <w:spacing w:val="-2"/>
          <w:rtl/>
        </w:rPr>
        <w:t>)</w:t>
      </w:r>
      <w:r w:rsidRPr="00DA5C4E">
        <w:rPr>
          <w:rFonts w:hint="cs"/>
          <w:rtl/>
        </w:rPr>
        <w:t xml:space="preserve">. החלתה של ההגנה הקבועה </w:t>
      </w:r>
      <w:hyperlink r:id="rId247" w:history="1">
        <w:r w:rsidR="009E75A0" w:rsidRPr="009E75A0">
          <w:rPr>
            <w:color w:val="0000FF"/>
            <w:u w:val="single"/>
            <w:rtl/>
          </w:rPr>
          <w:t>בסעיף 34כ</w:t>
        </w:r>
      </w:hyperlink>
      <w:r w:rsidRPr="00DA5C4E">
        <w:rPr>
          <w:rFonts w:hint="cs"/>
          <w:rtl/>
        </w:rPr>
        <w:t xml:space="preserve"> על בוררים עלולה בנסיבות אלו להוביל לניצולו של מוסד זה לרעה, ובין היתר להסדרתה של פעילות עבריינית בחסותו של החוק.</w:t>
      </w:r>
    </w:p>
    <w:p w:rsidR="00D35634" w:rsidRDefault="006A180F" w:rsidP="006A180F">
      <w:pPr>
        <w:pStyle w:val="a"/>
        <w:rPr>
          <w:rtl/>
        </w:rPr>
      </w:pPr>
      <w:r w:rsidRPr="00DA5C4E">
        <w:rPr>
          <w:rFonts w:hint="cs"/>
          <w:rtl/>
        </w:rPr>
        <w:t xml:space="preserve">החלתה של ה"הגנה על רשות שופטת" רק על האורגנים של הרשות השופטת מוצדקת בשל טעם נוסף, באשר היא מיישמת הלכה למעשה את עקרון הפרדת הרשויות. העמדתם לדין של שופטים עשויה להיות כרוכה בערעור מערכת היחסים שבין הרשות השופטת לרשות המבצעת, שכן הפרקליטות, כשלוחתה של הרשות </w:t>
      </w:r>
    </w:p>
    <w:p w:rsidR="006A180F" w:rsidRPr="00DA5C4E" w:rsidRDefault="00D35634" w:rsidP="00D35634">
      <w:pPr>
        <w:pStyle w:val="a"/>
        <w:ind w:firstLine="0"/>
        <w:rPr>
          <w:rFonts w:hint="cs"/>
          <w:rtl/>
        </w:rPr>
      </w:pPr>
      <w:r>
        <w:rPr>
          <w:rtl/>
        </w:rPr>
        <w:br w:type="page"/>
      </w:r>
      <w:r w:rsidR="006A180F" w:rsidRPr="00DA5C4E">
        <w:rPr>
          <w:rFonts w:hint="cs"/>
          <w:rtl/>
        </w:rPr>
        <w:t xml:space="preserve">המבצעת, היא שתתבע את השופט בה בעת שאותו שופט ידון בתיקים </w:t>
      </w:r>
      <w:r w:rsidR="006A180F">
        <w:rPr>
          <w:rFonts w:hint="cs"/>
          <w:rtl/>
        </w:rPr>
        <w:t>אחרים</w:t>
      </w:r>
      <w:r w:rsidR="006A180F" w:rsidRPr="00DA5C4E">
        <w:rPr>
          <w:rFonts w:hint="cs"/>
          <w:rtl/>
        </w:rPr>
        <w:t xml:space="preserve"> שבהם הפרקליטות היא בעלת דין. ועוד, יש חשש כי שופט ש</w:t>
      </w:r>
      <w:r w:rsidR="006A180F">
        <w:rPr>
          <w:rFonts w:hint="cs"/>
          <w:rtl/>
        </w:rPr>
        <w:t xml:space="preserve">תתנופף </w:t>
      </w:r>
      <w:r w:rsidR="006A180F" w:rsidRPr="00DA5C4E">
        <w:rPr>
          <w:rFonts w:hint="cs"/>
          <w:rtl/>
        </w:rPr>
        <w:t xml:space="preserve">מעל ראשו חרב התביעה, לא ימלא את תפקידו באופן אובייקטיבי ובלתי תלוי בשל החשש כי הרשות המבצעת, שגם בענייניה הוא דן, תעמיד אותו לדין. יתרה מכך, העמדתו של שופט לדין עלולה לגרום לפגיעה באיזון השורר בין ערכאות הרשות השופטת עצמה, </w:t>
      </w:r>
      <w:r w:rsidR="006A180F">
        <w:rPr>
          <w:rFonts w:hint="cs"/>
          <w:rtl/>
        </w:rPr>
        <w:t>כי</w:t>
      </w:r>
      <w:r w:rsidR="006A180F" w:rsidRPr="00DA5C4E">
        <w:rPr>
          <w:rFonts w:hint="cs"/>
          <w:rtl/>
        </w:rPr>
        <w:t xml:space="preserve"> שופטים </w:t>
      </w:r>
      <w:r w:rsidR="006A180F">
        <w:rPr>
          <w:rFonts w:hint="cs"/>
          <w:rtl/>
        </w:rPr>
        <w:t>הם</w:t>
      </w:r>
      <w:r w:rsidR="006A180F" w:rsidRPr="00DA5C4E">
        <w:rPr>
          <w:rFonts w:hint="cs"/>
          <w:rtl/>
        </w:rPr>
        <w:t xml:space="preserve"> שי</w:t>
      </w:r>
      <w:r w:rsidR="006A180F">
        <w:rPr>
          <w:rFonts w:hint="cs"/>
          <w:rtl/>
        </w:rPr>
        <w:t>י</w:t>
      </w:r>
      <w:r w:rsidR="006A180F" w:rsidRPr="00DA5C4E">
        <w:rPr>
          <w:rFonts w:hint="cs"/>
          <w:rtl/>
        </w:rPr>
        <w:t xml:space="preserve">אלצו לדון בעניינם של עמיתיהם (ראו </w:t>
      </w:r>
      <w:r w:rsidR="006A180F" w:rsidRPr="00DD38BF">
        <w:rPr>
          <w:rFonts w:hint="cs"/>
          <w:rtl/>
        </w:rPr>
        <w:t>גלעד</w:t>
      </w:r>
      <w:r w:rsidR="00DD38BF">
        <w:rPr>
          <w:rFonts w:hint="cs"/>
          <w:rtl/>
        </w:rPr>
        <w:t xml:space="preserve"> </w:t>
      </w:r>
      <w:r w:rsidR="00DD38BF">
        <w:rPr>
          <w:rFonts w:cs="Miriam" w:hint="cs"/>
          <w:szCs w:val="19"/>
          <w:rtl/>
        </w:rPr>
        <w:t>[</w:t>
      </w:r>
      <w:r w:rsidR="00BA5973">
        <w:rPr>
          <w:rFonts w:cs="Miriam" w:hint="cs"/>
          <w:szCs w:val="19"/>
          <w:rtl/>
        </w:rPr>
        <w:t>39</w:t>
      </w:r>
      <w:r w:rsidR="00DD38BF">
        <w:rPr>
          <w:rFonts w:cs="Miriam" w:hint="cs"/>
          <w:szCs w:val="19"/>
          <w:rtl/>
        </w:rPr>
        <w:t>]</w:t>
      </w:r>
      <w:r w:rsidR="006A180F" w:rsidRPr="00DA5C4E">
        <w:rPr>
          <w:rFonts w:hint="cs"/>
          <w:rtl/>
        </w:rPr>
        <w:t xml:space="preserve">, </w:t>
      </w:r>
      <w:r w:rsidR="006A180F" w:rsidRPr="00DD38BF">
        <w:rPr>
          <w:rFonts w:cs="Miriam" w:hint="cs"/>
          <w:szCs w:val="19"/>
          <w:rtl/>
        </w:rPr>
        <w:t>בעמ' 265-263</w:t>
      </w:r>
      <w:r w:rsidR="006A180F" w:rsidRPr="00DA5C4E">
        <w:rPr>
          <w:rFonts w:hint="cs"/>
          <w:rtl/>
        </w:rPr>
        <w:t xml:space="preserve">). שיקולים מן הסוג הזה אף הם אינם ישימים </w:t>
      </w:r>
      <w:r w:rsidR="006A180F">
        <w:rPr>
          <w:rFonts w:hint="cs"/>
          <w:rtl/>
        </w:rPr>
        <w:t>ב</w:t>
      </w:r>
      <w:r w:rsidR="006A180F" w:rsidRPr="00DA5C4E">
        <w:rPr>
          <w:rFonts w:hint="cs"/>
          <w:rtl/>
        </w:rPr>
        <w:t>עניינם של בוררים, וגם מכך מתחייבת המסקנה שאין להרחיב את</w:t>
      </w:r>
      <w:r w:rsidR="006A180F">
        <w:rPr>
          <w:rFonts w:hint="cs"/>
          <w:rtl/>
        </w:rPr>
        <w:t xml:space="preserve"> תחולתו של </w:t>
      </w:r>
      <w:hyperlink r:id="rId248" w:history="1">
        <w:r w:rsidR="009E75A0" w:rsidRPr="009E75A0">
          <w:rPr>
            <w:color w:val="0000FF"/>
            <w:u w:val="single"/>
            <w:rtl/>
          </w:rPr>
          <w:t>סעיף 34כ</w:t>
        </w:r>
      </w:hyperlink>
      <w:r w:rsidR="006A180F" w:rsidRPr="00DA5C4E">
        <w:rPr>
          <w:rFonts w:hint="cs"/>
          <w:rtl/>
        </w:rPr>
        <w:t xml:space="preserve"> </w:t>
      </w:r>
      <w:r w:rsidR="006A180F">
        <w:rPr>
          <w:rFonts w:hint="cs"/>
          <w:rtl/>
        </w:rPr>
        <w:t>ע</w:t>
      </w:r>
      <w:r w:rsidR="006A180F" w:rsidRPr="00DA5C4E">
        <w:rPr>
          <w:rFonts w:hint="cs"/>
          <w:rtl/>
        </w:rPr>
        <w:t>ל</w:t>
      </w:r>
      <w:r w:rsidR="006A180F">
        <w:rPr>
          <w:rFonts w:hint="cs"/>
          <w:rtl/>
        </w:rPr>
        <w:t xml:space="preserve"> </w:t>
      </w:r>
      <w:r w:rsidR="006A180F" w:rsidRPr="00DA5C4E">
        <w:rPr>
          <w:rFonts w:hint="cs"/>
          <w:rtl/>
        </w:rPr>
        <w:t>מי שאינו נמנה ע</w:t>
      </w:r>
      <w:r w:rsidR="006A180F">
        <w:rPr>
          <w:rFonts w:hint="cs"/>
          <w:rtl/>
        </w:rPr>
        <w:t>ל</w:t>
      </w:r>
      <w:r w:rsidR="006A180F" w:rsidRPr="00DA5C4E">
        <w:rPr>
          <w:rFonts w:hint="cs"/>
          <w:rtl/>
        </w:rPr>
        <w:t xml:space="preserve"> הרשות השופטת.</w:t>
      </w:r>
    </w:p>
    <w:p w:rsidR="006A180F" w:rsidRPr="00DA5C4E" w:rsidRDefault="006A180F" w:rsidP="006A180F">
      <w:pPr>
        <w:pStyle w:val="a"/>
        <w:rPr>
          <w:rFonts w:hint="cs"/>
          <w:rtl/>
        </w:rPr>
      </w:pPr>
      <w:r w:rsidRPr="00DA5C4E">
        <w:rPr>
          <w:rFonts w:hint="cs"/>
          <w:rtl/>
        </w:rPr>
        <w:t>38.</w:t>
      </w:r>
      <w:r w:rsidRPr="00DA5C4E">
        <w:rPr>
          <w:rFonts w:hint="cs"/>
          <w:rtl/>
        </w:rPr>
        <w:tab/>
        <w:t xml:space="preserve">לבסוף ראיתי לנכון להתייחס לעניין נוסף. הליך הבוררות הוא הליך השואב את כוחו מהסכמתם של הצדדים, והוא מוגבל למישור היחסים </w:t>
      </w:r>
      <w:r>
        <w:rPr>
          <w:rFonts w:hint="cs"/>
          <w:rtl/>
        </w:rPr>
        <w:t>ש</w:t>
      </w:r>
      <w:r w:rsidRPr="00DA5C4E">
        <w:rPr>
          <w:rFonts w:hint="cs"/>
          <w:rtl/>
        </w:rPr>
        <w:t>ביניהם. הם שבחרו בבורר, ומכאן כוחם "לוותר" על האפשרות לתבוע אותו בגין נזק ש</w:t>
      </w:r>
      <w:r>
        <w:rPr>
          <w:rFonts w:hint="cs"/>
          <w:rtl/>
        </w:rPr>
        <w:t>י</w:t>
      </w:r>
      <w:r w:rsidRPr="00DA5C4E">
        <w:rPr>
          <w:rFonts w:hint="cs"/>
          <w:rtl/>
        </w:rPr>
        <w:t xml:space="preserve">יגרם להם במהלכה של הבוררות. לא כך הדבר שעה שמדובר בדין הפלילי, הואיל והחלתה של ההגנה הקבועה </w:t>
      </w:r>
      <w:hyperlink r:id="rId249" w:history="1">
        <w:r w:rsidR="009E75A0" w:rsidRPr="009E75A0">
          <w:rPr>
            <w:color w:val="0000FF"/>
            <w:u w:val="single"/>
            <w:rtl/>
          </w:rPr>
          <w:t>בסעיף 34כ</w:t>
        </w:r>
      </w:hyperlink>
      <w:r w:rsidRPr="00DA5C4E">
        <w:rPr>
          <w:rFonts w:hint="cs"/>
          <w:rtl/>
        </w:rPr>
        <w:t xml:space="preserve"> גם על בוררים משמעה כי הצדדים לבוררות חיסנו את הבורר, מכ</w:t>
      </w:r>
      <w:r>
        <w:rPr>
          <w:rFonts w:hint="cs"/>
          <w:rtl/>
        </w:rPr>
        <w:t>ו</w:t>
      </w:r>
      <w:r w:rsidRPr="00DA5C4E">
        <w:rPr>
          <w:rFonts w:hint="cs"/>
          <w:rtl/>
        </w:rPr>
        <w:t xml:space="preserve">ח הסכמתם, מפני הדין הפלילי. דא עקא, חסינות כזו אין בכוחם להעניק לו, שכן ההליך הפלילי מבוסס על אינטרסים </w:t>
      </w:r>
      <w:r>
        <w:rPr>
          <w:rFonts w:hint="cs"/>
          <w:rtl/>
        </w:rPr>
        <w:t>כלליים</w:t>
      </w:r>
      <w:r w:rsidRPr="00DA5C4E">
        <w:rPr>
          <w:rFonts w:hint="cs"/>
          <w:rtl/>
        </w:rPr>
        <w:t xml:space="preserve">, וככאלה הם חורגים מגדר הנושאים </w:t>
      </w:r>
      <w:r>
        <w:rPr>
          <w:rFonts w:hint="cs"/>
          <w:rtl/>
        </w:rPr>
        <w:t>ש</w:t>
      </w:r>
      <w:r w:rsidRPr="00DA5C4E">
        <w:rPr>
          <w:rFonts w:hint="cs"/>
          <w:rtl/>
        </w:rPr>
        <w:t>עליהם הצדדים לבוררות רשאים להסכים.</w:t>
      </w:r>
    </w:p>
    <w:p w:rsidR="009F3939" w:rsidRDefault="009F3939" w:rsidP="00DD38BF">
      <w:pPr>
        <w:pStyle w:val="a"/>
        <w:rPr>
          <w:rtl/>
        </w:rPr>
        <w:sectPr w:rsidR="009F3939" w:rsidSect="00CD5C20">
          <w:headerReference w:type="even" r:id="rId250"/>
          <w:headerReference w:type="default" r:id="rId251"/>
          <w:endnotePr>
            <w:numFmt w:val="lowerLetter"/>
          </w:endnotePr>
          <w:type w:val="continuous"/>
          <w:pgSz w:w="11907" w:h="16840" w:code="9"/>
          <w:pgMar w:top="3600" w:right="2693" w:bottom="1872" w:left="2693" w:header="2880" w:footer="1411" w:gutter="0"/>
          <w:cols w:space="720"/>
          <w:titlePg/>
          <w:bidi/>
          <w:rtlGutter/>
        </w:sectPr>
      </w:pPr>
    </w:p>
    <w:p w:rsidR="00D35634" w:rsidRDefault="006A180F" w:rsidP="00DD38BF">
      <w:pPr>
        <w:pStyle w:val="a"/>
        <w:rPr>
          <w:rtl/>
        </w:rPr>
      </w:pPr>
      <w:r w:rsidRPr="00DA5C4E">
        <w:rPr>
          <w:rFonts w:hint="cs"/>
          <w:rtl/>
        </w:rPr>
        <w:t xml:space="preserve">מעבר לנדרש אוסיף כי גם אם הייתי מצטרף למסקנתו של בית משפט קמא ומחיל את </w:t>
      </w:r>
      <w:hyperlink r:id="rId252" w:history="1">
        <w:r w:rsidR="009E75A0" w:rsidRPr="009E75A0">
          <w:rPr>
            <w:color w:val="0000FF"/>
            <w:u w:val="single"/>
            <w:rtl/>
          </w:rPr>
          <w:t>סעיף 34כ</w:t>
        </w:r>
      </w:hyperlink>
      <w:r w:rsidRPr="00DA5C4E">
        <w:rPr>
          <w:rFonts w:hint="cs"/>
          <w:rtl/>
        </w:rPr>
        <w:t xml:space="preserve"> על בוררים, הרי שבנסיבותיו של המקרה ש</w:t>
      </w:r>
      <w:r>
        <w:rPr>
          <w:rFonts w:hint="cs"/>
          <w:rtl/>
        </w:rPr>
        <w:t>ל</w:t>
      </w:r>
      <w:r w:rsidRPr="00DA5C4E">
        <w:rPr>
          <w:rFonts w:hint="cs"/>
          <w:rtl/>
        </w:rPr>
        <w:t>פנינו לא היה מקום להחיל א</w:t>
      </w:r>
      <w:r>
        <w:rPr>
          <w:rFonts w:hint="cs"/>
          <w:rtl/>
        </w:rPr>
        <w:t xml:space="preserve">ותו </w:t>
      </w:r>
      <w:r w:rsidRPr="00DA5C4E">
        <w:rPr>
          <w:rFonts w:hint="cs"/>
          <w:rtl/>
        </w:rPr>
        <w:t xml:space="preserve">על </w:t>
      </w:r>
      <w:r>
        <w:rPr>
          <w:rFonts w:hint="cs"/>
          <w:rtl/>
        </w:rPr>
        <w:t>ה</w:t>
      </w:r>
      <w:r w:rsidRPr="00DA5C4E">
        <w:rPr>
          <w:rFonts w:hint="cs"/>
          <w:rtl/>
        </w:rPr>
        <w:t xml:space="preserve">משיב 3. ההגנה על רשות שופטת במשפט הישראלי אינה יוצרת חסינות מוחלטת מפני העמדה לדין. ככלל, חלה ההגנה על מעשים שנעשו במהלך ביצועו של התפקיד השיפוטי, אולם גם במצבים אלה לא בכל מקרה יוכל מבצעה של העבירה לחסות בצלה של ההגנה, שכן היא אינה חלה כאשר מבצעה פעל בכוונת מכוון. כך לא הייתה מניעה להעמיד לדין אדם ששימש קאדי בבית הדין השרעי, ואשר ביצע במהלך תפקידו מעשה של זיוף ותרמית (ראו </w:t>
      </w:r>
      <w:hyperlink r:id="rId253" w:history="1">
        <w:r w:rsidR="004C5B7C" w:rsidRPr="00AD4D63">
          <w:rPr>
            <w:rStyle w:val="Hyperlink"/>
            <w:rFonts w:cs="Miriam" w:hint="eastAsia"/>
            <w:szCs w:val="19"/>
            <w:rtl/>
          </w:rPr>
          <w:t>ע</w:t>
        </w:r>
        <w:r w:rsidR="004C5B7C" w:rsidRPr="00AD4D63">
          <w:rPr>
            <w:rStyle w:val="Hyperlink"/>
            <w:rFonts w:cs="Miriam"/>
            <w:szCs w:val="19"/>
            <w:rtl/>
          </w:rPr>
          <w:t>"פ 26/66</w:t>
        </w:r>
      </w:hyperlink>
      <w:r w:rsidRPr="00DD38BF">
        <w:rPr>
          <w:rFonts w:cs="Miriam" w:hint="cs"/>
          <w:szCs w:val="19"/>
          <w:rtl/>
        </w:rPr>
        <w:t xml:space="preserve"> חמאד נ' היועץ המשפטי לממשלה</w:t>
      </w:r>
      <w:r w:rsidR="00DD38BF">
        <w:rPr>
          <w:rFonts w:cs="Miriam" w:hint="cs"/>
          <w:szCs w:val="19"/>
          <w:rtl/>
        </w:rPr>
        <w:t xml:space="preserve"> [23]</w:t>
      </w:r>
      <w:r w:rsidRPr="00DA5C4E">
        <w:rPr>
          <w:rFonts w:hint="cs"/>
          <w:rtl/>
        </w:rPr>
        <w:t xml:space="preserve">); כך גם </w:t>
      </w:r>
      <w:r>
        <w:rPr>
          <w:rFonts w:hint="cs"/>
          <w:rtl/>
        </w:rPr>
        <w:t>בעניינו של</w:t>
      </w:r>
      <w:r w:rsidRPr="00DA5C4E">
        <w:rPr>
          <w:rFonts w:hint="cs"/>
          <w:rtl/>
        </w:rPr>
        <w:t xml:space="preserve"> אדם ששימש ראש ההוצאה לפועל אשר נטען כי ב</w:t>
      </w:r>
      <w:r>
        <w:rPr>
          <w:rFonts w:hint="cs"/>
          <w:rtl/>
        </w:rPr>
        <w:t>עת</w:t>
      </w:r>
      <w:r w:rsidRPr="00DA5C4E">
        <w:rPr>
          <w:rFonts w:hint="cs"/>
          <w:rtl/>
        </w:rPr>
        <w:t xml:space="preserve"> תפקידו נטל שוחד (ראו </w:t>
      </w:r>
      <w:hyperlink r:id="rId254" w:history="1">
        <w:r w:rsidR="004C5B7C" w:rsidRPr="00AD4D63">
          <w:rPr>
            <w:rStyle w:val="Hyperlink"/>
            <w:rFonts w:cs="Miriam" w:hint="eastAsia"/>
            <w:szCs w:val="19"/>
            <w:rtl/>
          </w:rPr>
          <w:t>ע</w:t>
        </w:r>
        <w:r w:rsidR="004C5B7C" w:rsidRPr="00AD4D63">
          <w:rPr>
            <w:rStyle w:val="Hyperlink"/>
            <w:rFonts w:cs="Miriam"/>
            <w:szCs w:val="19"/>
            <w:rtl/>
          </w:rPr>
          <w:t>"פ 257/79</w:t>
        </w:r>
      </w:hyperlink>
      <w:r w:rsidRPr="00DD38BF">
        <w:rPr>
          <w:rFonts w:cs="Miriam" w:hint="cs"/>
          <w:szCs w:val="19"/>
          <w:rtl/>
        </w:rPr>
        <w:t xml:space="preserve"> סווירי נ' מדינת ישראל</w:t>
      </w:r>
      <w:r w:rsidR="00DD38BF">
        <w:rPr>
          <w:rFonts w:cs="Miriam" w:hint="cs"/>
          <w:szCs w:val="19"/>
          <w:rtl/>
        </w:rPr>
        <w:t xml:space="preserve"> </w:t>
      </w:r>
      <w:r w:rsidR="00166A59">
        <w:rPr>
          <w:rFonts w:hint="cs"/>
          <w:rtl/>
        </w:rPr>
        <w:t xml:space="preserve">(להלן – פרשת </w:t>
      </w:r>
      <w:r w:rsidR="00166A59">
        <w:rPr>
          <w:rFonts w:cs="Miriam" w:hint="cs"/>
          <w:szCs w:val="19"/>
          <w:rtl/>
        </w:rPr>
        <w:t xml:space="preserve">סווירי </w:t>
      </w:r>
      <w:r w:rsidR="00DD38BF">
        <w:rPr>
          <w:rFonts w:cs="Miriam" w:hint="cs"/>
          <w:szCs w:val="19"/>
          <w:rtl/>
        </w:rPr>
        <w:t>[24]</w:t>
      </w:r>
      <w:r w:rsidRPr="00DA5C4E">
        <w:rPr>
          <w:rFonts w:hint="cs"/>
          <w:rtl/>
        </w:rPr>
        <w:t>)</w:t>
      </w:r>
      <w:r w:rsidR="00166A59">
        <w:rPr>
          <w:rFonts w:hint="cs"/>
          <w:rtl/>
        </w:rPr>
        <w:t>)</w:t>
      </w:r>
      <w:r w:rsidRPr="00DA5C4E">
        <w:rPr>
          <w:rFonts w:hint="cs"/>
          <w:rtl/>
        </w:rPr>
        <w:t xml:space="preserve">. לעניין זה ראוי להוסיף כי בפרשת </w:t>
      </w:r>
      <w:r w:rsidRPr="00166A59">
        <w:rPr>
          <w:rFonts w:cs="Miriam" w:hint="cs"/>
          <w:szCs w:val="19"/>
          <w:rtl/>
        </w:rPr>
        <w:t>סווירי</w:t>
      </w:r>
      <w:r w:rsidR="00166A59">
        <w:rPr>
          <w:rFonts w:cs="Miriam" w:hint="cs"/>
          <w:szCs w:val="19"/>
          <w:rtl/>
        </w:rPr>
        <w:t xml:space="preserve"> [24]</w:t>
      </w:r>
      <w:r w:rsidRPr="00166A59">
        <w:rPr>
          <w:rFonts w:hint="cs"/>
          <w:rtl/>
        </w:rPr>
        <w:t xml:space="preserve"> </w:t>
      </w:r>
      <w:r w:rsidRPr="00DA5C4E">
        <w:rPr>
          <w:rFonts w:hint="cs"/>
          <w:rtl/>
        </w:rPr>
        <w:t xml:space="preserve">סברה </w:t>
      </w:r>
      <w:r w:rsidRPr="00DD38BF">
        <w:rPr>
          <w:rFonts w:cs="Miriam" w:hint="cs"/>
          <w:szCs w:val="19"/>
          <w:rtl/>
        </w:rPr>
        <w:t>השופטת בן</w:t>
      </w:r>
      <w:r w:rsidRPr="00DD38BF">
        <w:rPr>
          <w:rFonts w:cs="Miriam" w:hint="cs"/>
          <w:position w:val="4"/>
          <w:szCs w:val="19"/>
          <w:rtl/>
        </w:rPr>
        <w:t>-</w:t>
      </w:r>
      <w:r w:rsidRPr="00DD38BF">
        <w:rPr>
          <w:rFonts w:cs="Miriam" w:hint="cs"/>
          <w:szCs w:val="19"/>
          <w:rtl/>
        </w:rPr>
        <w:t>פורת</w:t>
      </w:r>
      <w:r w:rsidRPr="00DA5C4E">
        <w:rPr>
          <w:rFonts w:hint="cs"/>
          <w:rtl/>
        </w:rPr>
        <w:t xml:space="preserve">, בהתייחסה לנושאי משרה שיפוטית המשתייכים מבחינה פונקציונלית לרשות השופטת, כי יש להחיל </w:t>
      </w:r>
      <w:r>
        <w:rPr>
          <w:rFonts w:hint="cs"/>
          <w:rtl/>
        </w:rPr>
        <w:t>בעניינם</w:t>
      </w:r>
      <w:r w:rsidRPr="00DA5C4E">
        <w:rPr>
          <w:rFonts w:hint="cs"/>
          <w:rtl/>
        </w:rPr>
        <w:t xml:space="preserve"> את ההגנה באופן רחב גם במקרים של שחיתות ברורה וגלויה, והדרך לתקוף החלטות שהתקבלו על ידי נושא משרה שחטא בפלילים תהא באמצעות ערעור או פנייה לבג"</w:t>
      </w:r>
      <w:r>
        <w:rPr>
          <w:rFonts w:hint="cs"/>
          <w:rtl/>
        </w:rPr>
        <w:t>ץ</w:t>
      </w:r>
      <w:r w:rsidRPr="00DA5C4E">
        <w:rPr>
          <w:rFonts w:hint="cs"/>
          <w:rtl/>
        </w:rPr>
        <w:t xml:space="preserve">, ולא בדרך של העמדתו לדין. כאמור, בהליכי הבוררות </w:t>
      </w:r>
      <w:r>
        <w:rPr>
          <w:rFonts w:hint="cs"/>
          <w:rtl/>
        </w:rPr>
        <w:t>אין</w:t>
      </w:r>
      <w:r w:rsidRPr="00DA5C4E">
        <w:rPr>
          <w:rFonts w:hint="cs"/>
          <w:rtl/>
        </w:rPr>
        <w:t xml:space="preserve"> אפשרות לביקורת שיפוטית מסוג זה על הכרעותיו של הבורר, וגם מטעם זה לא היה אופיר יכול לזכות בהגנה </w:t>
      </w:r>
    </w:p>
    <w:p w:rsidR="006A180F" w:rsidRPr="00DA5C4E" w:rsidRDefault="00D35634" w:rsidP="00D35634">
      <w:pPr>
        <w:pStyle w:val="a"/>
        <w:ind w:firstLine="0"/>
        <w:rPr>
          <w:rFonts w:hint="cs"/>
          <w:rtl/>
        </w:rPr>
      </w:pPr>
      <w:r>
        <w:rPr>
          <w:rtl/>
        </w:rPr>
        <w:br w:type="page"/>
      </w:r>
      <w:r w:rsidR="006A180F" w:rsidRPr="00DA5C4E">
        <w:rPr>
          <w:rFonts w:hint="cs"/>
          <w:rtl/>
        </w:rPr>
        <w:t xml:space="preserve">הקבועה </w:t>
      </w:r>
      <w:hyperlink r:id="rId255" w:history="1">
        <w:r w:rsidR="009E75A0" w:rsidRPr="009E75A0">
          <w:rPr>
            <w:color w:val="0000FF"/>
            <w:u w:val="single"/>
            <w:rtl/>
          </w:rPr>
          <w:t>בסעיף 34כ</w:t>
        </w:r>
      </w:hyperlink>
      <w:r w:rsidR="006A180F" w:rsidRPr="00DA5C4E">
        <w:rPr>
          <w:rFonts w:hint="cs"/>
          <w:rtl/>
        </w:rPr>
        <w:t xml:space="preserve">, לאחר שנמצא כי הוא פעל מתוך מודעות לדבר העבירה, </w:t>
      </w:r>
      <w:r w:rsidR="006A180F">
        <w:rPr>
          <w:rFonts w:hint="cs"/>
          <w:rtl/>
        </w:rPr>
        <w:t>וכדי</w:t>
      </w:r>
      <w:r w:rsidR="006A180F" w:rsidRPr="00DA5C4E">
        <w:rPr>
          <w:rFonts w:hint="cs"/>
          <w:rtl/>
        </w:rPr>
        <w:t xml:space="preserve"> לסייע למבצעיה. ועוד אוסיף, כי אין בידי לקבל את טענתו של </w:t>
      </w:r>
      <w:r w:rsidR="006A180F">
        <w:rPr>
          <w:rFonts w:hint="cs"/>
          <w:rtl/>
        </w:rPr>
        <w:t>ה</w:t>
      </w:r>
      <w:r w:rsidR="006A180F" w:rsidRPr="00DA5C4E">
        <w:rPr>
          <w:rFonts w:hint="cs"/>
          <w:rtl/>
        </w:rPr>
        <w:t xml:space="preserve">משיב 3, </w:t>
      </w:r>
      <w:r w:rsidR="006A180F">
        <w:rPr>
          <w:rFonts w:hint="cs"/>
          <w:rtl/>
        </w:rPr>
        <w:t>ש</w:t>
      </w:r>
      <w:r w:rsidR="006A180F" w:rsidRPr="00DA5C4E">
        <w:rPr>
          <w:rFonts w:hint="cs"/>
          <w:rtl/>
        </w:rPr>
        <w:t>לפיה אי</w:t>
      </w:r>
      <w:r w:rsidR="006A180F" w:rsidRPr="00DD38BF">
        <w:rPr>
          <w:rFonts w:hint="cs"/>
          <w:position w:val="4"/>
          <w:rtl/>
        </w:rPr>
        <w:t>-</w:t>
      </w:r>
      <w:r w:rsidR="006A180F" w:rsidRPr="00DA5C4E">
        <w:rPr>
          <w:rFonts w:hint="cs"/>
          <w:rtl/>
        </w:rPr>
        <w:t>החוקיות שדבקה בהסכם הבוררות ובפסק הבוררות שבא בעקבותיו היא אי</w:t>
      </w:r>
      <w:r w:rsidR="006A180F" w:rsidRPr="00DD38BF">
        <w:rPr>
          <w:rFonts w:hint="cs"/>
          <w:position w:val="4"/>
          <w:rtl/>
        </w:rPr>
        <w:t>-</w:t>
      </w:r>
      <w:r w:rsidR="006A180F" w:rsidRPr="00DA5C4E">
        <w:rPr>
          <w:rFonts w:hint="cs"/>
          <w:rtl/>
        </w:rPr>
        <w:t>חוקיות שולית הנלווית להכרעה מסחרית לגיטימית. טול מהסכם הבוררות את התניות העוסקות בחלוקת השוק ואת החיובים הנובעים מחלוקה זו, וכל שנותר ממנו הוא מסמך נטול משמעות</w:t>
      </w:r>
      <w:r w:rsidR="006A180F">
        <w:rPr>
          <w:rFonts w:hint="cs"/>
          <w:rtl/>
        </w:rPr>
        <w:t xml:space="preserve"> כלשהי</w:t>
      </w:r>
      <w:r w:rsidR="006A180F" w:rsidRPr="00DA5C4E">
        <w:rPr>
          <w:rFonts w:hint="cs"/>
          <w:rtl/>
        </w:rPr>
        <w:t xml:space="preserve">. חלוקתו של השוק הייתה עיקרו של ההסכם, מהותו וטעם החיים שלו, ומכאן המסקנה כי הסכם הבוררות הוא בלתי חוקי מעיקרו. </w:t>
      </w:r>
    </w:p>
    <w:p w:rsidR="006A180F" w:rsidRDefault="006A180F" w:rsidP="00166A59">
      <w:pPr>
        <w:pStyle w:val="a"/>
        <w:rPr>
          <w:rFonts w:hint="cs"/>
          <w:rtl/>
        </w:rPr>
      </w:pPr>
      <w:r>
        <w:rPr>
          <w:rFonts w:hint="cs"/>
          <w:rtl/>
        </w:rPr>
        <w:t>39.</w:t>
      </w:r>
      <w:r>
        <w:rPr>
          <w:rFonts w:hint="cs"/>
          <w:rtl/>
        </w:rPr>
        <w:tab/>
        <w:t xml:space="preserve">לסיכום, דעתי היא כי דינו של הערעור להתקבל, ועל כן אני מציע לחבריי להרשיע את המשיבים בעבירה לפי </w:t>
      </w:r>
      <w:hyperlink r:id="rId256" w:history="1">
        <w:r w:rsidR="009E75A0" w:rsidRPr="009E75A0">
          <w:rPr>
            <w:color w:val="0000FF"/>
            <w:u w:val="single"/>
            <w:rtl/>
          </w:rPr>
          <w:t>סעיף 47(א)(1)</w:t>
        </w:r>
      </w:hyperlink>
      <w:r>
        <w:rPr>
          <w:rFonts w:hint="cs"/>
          <w:rtl/>
        </w:rPr>
        <w:t xml:space="preserve"> </w:t>
      </w:r>
      <w:r w:rsidR="00166A59">
        <w:rPr>
          <w:rFonts w:hint="cs"/>
          <w:rtl/>
        </w:rPr>
        <w:t>ל</w:t>
      </w:r>
      <w:hyperlink r:id="rId257" w:history="1">
        <w:r w:rsidR="00A7624C" w:rsidRPr="00A7624C">
          <w:rPr>
            <w:rStyle w:val="Hyperlink"/>
            <w:rtl/>
          </w:rPr>
          <w:t>חוק ההגבלים העסקיים</w:t>
        </w:r>
      </w:hyperlink>
      <w:r w:rsidR="00166A59">
        <w:rPr>
          <w:rFonts w:hint="cs"/>
          <w:rtl/>
        </w:rPr>
        <w:t xml:space="preserve"> </w:t>
      </w:r>
      <w:r>
        <w:rPr>
          <w:rFonts w:hint="cs"/>
          <w:rtl/>
        </w:rPr>
        <w:t xml:space="preserve">בשילוב עם </w:t>
      </w:r>
      <w:hyperlink r:id="rId258" w:history="1">
        <w:r w:rsidR="009E75A0" w:rsidRPr="009E75A0">
          <w:rPr>
            <w:color w:val="0000FF"/>
            <w:u w:val="single"/>
            <w:rtl/>
          </w:rPr>
          <w:t>סעיף 2(ב)(3)</w:t>
        </w:r>
      </w:hyperlink>
      <w:r w:rsidR="00166A59">
        <w:rPr>
          <w:rFonts w:hint="cs"/>
          <w:rtl/>
        </w:rPr>
        <w:t xml:space="preserve"> לחוק</w:t>
      </w:r>
      <w:r>
        <w:rPr>
          <w:rFonts w:hint="cs"/>
          <w:rtl/>
        </w:rPr>
        <w:t xml:space="preserve">, ואשר למשיב 2 </w:t>
      </w:r>
      <w:r>
        <w:rPr>
          <w:rFonts w:hint="eastAsia"/>
          <w:rtl/>
        </w:rPr>
        <w:t xml:space="preserve">– </w:t>
      </w:r>
      <w:r>
        <w:rPr>
          <w:rFonts w:hint="cs"/>
          <w:rtl/>
        </w:rPr>
        <w:t xml:space="preserve">בשילוב גם עם </w:t>
      </w:r>
      <w:hyperlink r:id="rId259" w:history="1">
        <w:r w:rsidR="009E75A0" w:rsidRPr="009E75A0">
          <w:rPr>
            <w:color w:val="0000FF"/>
            <w:u w:val="single"/>
            <w:rtl/>
          </w:rPr>
          <w:t>סעיף 48</w:t>
        </w:r>
      </w:hyperlink>
      <w:r>
        <w:rPr>
          <w:rFonts w:hint="cs"/>
          <w:rtl/>
        </w:rPr>
        <w:t xml:space="preserve"> לחוק. אני מוסיף ומציע להחזיר את הדיון לבית המשפט המחוזי לצורך קיומם של ההליכים לעניין גזר הדין.</w:t>
      </w:r>
    </w:p>
    <w:p w:rsidR="006A180F" w:rsidRDefault="006A180F" w:rsidP="005D40E8">
      <w:pPr>
        <w:pStyle w:val="a2"/>
        <w:spacing w:before="480"/>
        <w:rPr>
          <w:rFonts w:hint="cs"/>
          <w:rtl/>
        </w:rPr>
      </w:pPr>
      <w:r>
        <w:rPr>
          <w:rFonts w:hint="cs"/>
          <w:rtl/>
        </w:rPr>
        <w:t>השופט ס' ג'ובראן</w:t>
      </w:r>
    </w:p>
    <w:p w:rsidR="006A180F" w:rsidRDefault="006A180F" w:rsidP="005D40E8">
      <w:pPr>
        <w:pStyle w:val="a"/>
        <w:rPr>
          <w:rFonts w:hint="cs"/>
          <w:rtl/>
        </w:rPr>
      </w:pPr>
      <w:r>
        <w:rPr>
          <w:rFonts w:hint="cs"/>
          <w:rtl/>
        </w:rPr>
        <w:tab/>
        <w:t>אני מסכים.</w:t>
      </w:r>
    </w:p>
    <w:p w:rsidR="006A180F" w:rsidRPr="00503A3E" w:rsidRDefault="006A180F" w:rsidP="005D40E8">
      <w:pPr>
        <w:pStyle w:val="a2"/>
        <w:spacing w:before="480"/>
        <w:rPr>
          <w:rFonts w:hint="cs"/>
          <w:rtl/>
        </w:rPr>
      </w:pPr>
      <w:r>
        <w:rPr>
          <w:rFonts w:hint="eastAsia"/>
          <w:rtl/>
        </w:rPr>
        <w:t>השופטת</w:t>
      </w:r>
      <w:r>
        <w:rPr>
          <w:rtl/>
        </w:rPr>
        <w:t xml:space="preserve"> א' חיות</w:t>
      </w:r>
    </w:p>
    <w:p w:rsidR="006A180F" w:rsidRDefault="006A180F" w:rsidP="006A180F">
      <w:pPr>
        <w:pStyle w:val="a"/>
        <w:rPr>
          <w:rFonts w:hint="cs"/>
          <w:rtl/>
        </w:rPr>
      </w:pPr>
      <w:r>
        <w:rPr>
          <w:rFonts w:hint="cs"/>
          <w:rtl/>
        </w:rPr>
        <w:t xml:space="preserve">אני מצטרפת לתוצאה שאליה הגיע חברי </w:t>
      </w:r>
      <w:r w:rsidRPr="0035734A">
        <w:rPr>
          <w:rFonts w:cs="Miriam" w:hint="cs"/>
          <w:szCs w:val="19"/>
          <w:rtl/>
        </w:rPr>
        <w:t>השופט לוי</w:t>
      </w:r>
      <w:r>
        <w:rPr>
          <w:rFonts w:hint="cs"/>
          <w:rtl/>
        </w:rPr>
        <w:t>, וברצוני להוסיף שלוש הערות:</w:t>
      </w:r>
    </w:p>
    <w:p w:rsidR="00D35634" w:rsidRDefault="006A180F" w:rsidP="00166A59">
      <w:pPr>
        <w:pStyle w:val="a"/>
        <w:rPr>
          <w:rtl/>
        </w:rPr>
      </w:pPr>
      <w:r>
        <w:rPr>
          <w:rFonts w:hint="cs"/>
          <w:rtl/>
        </w:rPr>
        <w:t>1.</w:t>
      </w:r>
      <w:r>
        <w:rPr>
          <w:rFonts w:hint="cs"/>
          <w:rtl/>
        </w:rPr>
        <w:tab/>
        <w:t xml:space="preserve">חברי קובע כי הסכם הבוררות שבין אריאל למנורה נועד ליצור חלוקת שוק, וכי משכך עניין לנו בהסדר כובל אשר לגביו קיימת חזקה חלוטה כי הוא פוגע בתחרות, מכוח </w:t>
      </w:r>
      <w:hyperlink r:id="rId260" w:history="1">
        <w:r w:rsidR="009E75A0" w:rsidRPr="009E75A0">
          <w:rPr>
            <w:color w:val="0000FF"/>
            <w:u w:val="single"/>
            <w:rtl/>
          </w:rPr>
          <w:t>סעיף 2(ב)(3)</w:t>
        </w:r>
      </w:hyperlink>
      <w:r>
        <w:rPr>
          <w:rFonts w:hint="cs"/>
          <w:rtl/>
        </w:rPr>
        <w:t xml:space="preserve"> ל</w:t>
      </w:r>
      <w:hyperlink r:id="rId261" w:history="1">
        <w:r w:rsidR="00A7624C" w:rsidRPr="00A7624C">
          <w:rPr>
            <w:rStyle w:val="Hyperlink"/>
            <w:rtl/>
          </w:rPr>
          <w:t>חוק ההגבלים העסקיים</w:t>
        </w:r>
      </w:hyperlink>
      <w:r w:rsidR="008514F4">
        <w:rPr>
          <w:rFonts w:hint="cs"/>
          <w:rtl/>
        </w:rPr>
        <w:t xml:space="preserve"> </w:t>
      </w:r>
      <w:r>
        <w:rPr>
          <w:rFonts w:hint="cs"/>
          <w:rtl/>
        </w:rPr>
        <w:t>(להלן</w:t>
      </w:r>
      <w:r w:rsidR="0035734A">
        <w:rPr>
          <w:rFonts w:hint="cs"/>
          <w:rtl/>
        </w:rPr>
        <w:t xml:space="preserve"> –</w:t>
      </w:r>
      <w:r>
        <w:rPr>
          <w:rFonts w:hint="cs"/>
          <w:rtl/>
        </w:rPr>
        <w:t xml:space="preserve"> </w:t>
      </w:r>
      <w:r w:rsidRPr="0035734A">
        <w:rPr>
          <w:rFonts w:hint="cs"/>
          <w:rtl/>
        </w:rPr>
        <w:t>חוק ההגבלים העסקיים או החוק</w:t>
      </w:r>
      <w:r>
        <w:rPr>
          <w:rFonts w:hint="cs"/>
          <w:rtl/>
        </w:rPr>
        <w:t xml:space="preserve">) (ראו </w:t>
      </w:r>
      <w:hyperlink r:id="rId262" w:history="1">
        <w:r w:rsidR="004C5B7C" w:rsidRPr="00AD4D63">
          <w:rPr>
            <w:rStyle w:val="Hyperlink"/>
            <w:rFonts w:cs="Miriam" w:hint="eastAsia"/>
            <w:szCs w:val="19"/>
            <w:rtl/>
          </w:rPr>
          <w:t>דנ</w:t>
        </w:r>
        <w:r w:rsidR="004C5B7C" w:rsidRPr="00AD4D63">
          <w:rPr>
            <w:rStyle w:val="Hyperlink"/>
            <w:rFonts w:cs="Miriam"/>
            <w:szCs w:val="19"/>
            <w:rtl/>
          </w:rPr>
          <w:t>"א 4465/98</w:t>
        </w:r>
      </w:hyperlink>
      <w:r w:rsidR="00166A59">
        <w:rPr>
          <w:rFonts w:cs="Miriam" w:hint="cs"/>
          <w:szCs w:val="19"/>
          <w:rtl/>
        </w:rPr>
        <w:t xml:space="preserve"> הנ"ל</w:t>
      </w:r>
      <w:r>
        <w:rPr>
          <w:rFonts w:hint="cs"/>
          <w:rtl/>
        </w:rPr>
        <w:t xml:space="preserve"> (להלן</w:t>
      </w:r>
      <w:r w:rsidR="001867CF">
        <w:rPr>
          <w:rFonts w:hint="cs"/>
          <w:rtl/>
        </w:rPr>
        <w:t xml:space="preserve"> –</w:t>
      </w:r>
      <w:r>
        <w:rPr>
          <w:rFonts w:hint="cs"/>
          <w:rtl/>
        </w:rPr>
        <w:t xml:space="preserve"> </w:t>
      </w:r>
      <w:r w:rsidRPr="001867CF">
        <w:rPr>
          <w:rFonts w:hint="cs"/>
          <w:rtl/>
        </w:rPr>
        <w:t xml:space="preserve">פרשת </w:t>
      </w:r>
      <w:r w:rsidRPr="001867CF">
        <w:rPr>
          <w:rFonts w:cs="Miriam" w:hint="cs"/>
          <w:szCs w:val="19"/>
          <w:rtl/>
        </w:rPr>
        <w:t>טבעול</w:t>
      </w:r>
      <w:r w:rsidR="001867CF">
        <w:rPr>
          <w:rFonts w:cs="Miriam" w:hint="cs"/>
          <w:szCs w:val="19"/>
          <w:rtl/>
        </w:rPr>
        <w:t xml:space="preserve"> [3]</w:t>
      </w:r>
      <w:r w:rsidRPr="005F222C">
        <w:rPr>
          <w:rFonts w:hint="cs"/>
          <w:rtl/>
        </w:rPr>
        <w:t xml:space="preserve">)). </w:t>
      </w:r>
      <w:r>
        <w:rPr>
          <w:rFonts w:hint="cs"/>
          <w:rtl/>
        </w:rPr>
        <w:t xml:space="preserve">מקובלת עליי מסקנה זו, וכן מקובלת עליי מסקנתו </w:t>
      </w:r>
      <w:r w:rsidRPr="005F222C">
        <w:rPr>
          <w:rFonts w:hint="cs"/>
          <w:rtl/>
        </w:rPr>
        <w:t xml:space="preserve">כי </w:t>
      </w:r>
      <w:r>
        <w:rPr>
          <w:rFonts w:hint="cs"/>
          <w:rtl/>
        </w:rPr>
        <w:t>המשיבים 1 ו</w:t>
      </w:r>
      <w:r w:rsidRPr="0035734A">
        <w:rPr>
          <w:rFonts w:hint="cs"/>
          <w:position w:val="4"/>
          <w:rtl/>
        </w:rPr>
        <w:t>-</w:t>
      </w:r>
      <w:r>
        <w:rPr>
          <w:rFonts w:hint="cs"/>
          <w:rtl/>
        </w:rPr>
        <w:t>2</w:t>
      </w:r>
      <w:r w:rsidRPr="005F222C">
        <w:rPr>
          <w:rFonts w:hint="cs"/>
          <w:rtl/>
        </w:rPr>
        <w:t xml:space="preserve"> עברו עבירה על פי </w:t>
      </w:r>
      <w:hyperlink r:id="rId263" w:history="1">
        <w:r w:rsidR="009E75A0" w:rsidRPr="009E75A0">
          <w:rPr>
            <w:color w:val="0000FF"/>
            <w:u w:val="single"/>
            <w:rtl/>
          </w:rPr>
          <w:t>סעיף 4</w:t>
        </w:r>
      </w:hyperlink>
      <w:r w:rsidRPr="005F222C">
        <w:rPr>
          <w:rFonts w:hint="cs"/>
          <w:rtl/>
        </w:rPr>
        <w:t xml:space="preserve"> לחוק</w:t>
      </w:r>
      <w:r>
        <w:rPr>
          <w:rFonts w:hint="cs"/>
          <w:rtl/>
        </w:rPr>
        <w:t xml:space="preserve"> בהיותם צד להסדר זה. עם זאת ברצוני להסתייג מן העמדה שהביע חברי בפיסקה 16 לפסק דינו, ולפיה משבא הסדר כלשהו בגדר החזקות הקבועות </w:t>
      </w:r>
      <w:hyperlink r:id="rId264" w:history="1">
        <w:r w:rsidR="009E75A0" w:rsidRPr="009E75A0">
          <w:rPr>
            <w:color w:val="0000FF"/>
            <w:u w:val="single"/>
            <w:rtl/>
          </w:rPr>
          <w:t>בסעיף 2(ב)</w:t>
        </w:r>
      </w:hyperlink>
      <w:r>
        <w:rPr>
          <w:rFonts w:hint="cs"/>
          <w:rtl/>
        </w:rPr>
        <w:t xml:space="preserve"> לחוק, קיימת גם הנחה חלוטה כי תכליתו היחידה של ההסדר היא פגיעה בתחרות. גישה זו נראית לי גורפת מדי, ואין היא מתחייבת לדעתי מהלכת </w:t>
      </w:r>
      <w:r w:rsidRPr="001867CF">
        <w:rPr>
          <w:rFonts w:cs="Miriam" w:hint="cs"/>
          <w:szCs w:val="19"/>
          <w:rtl/>
        </w:rPr>
        <w:t>טבעול</w:t>
      </w:r>
      <w:r w:rsidR="00166A59">
        <w:rPr>
          <w:rFonts w:cs="Miriam" w:hint="cs"/>
          <w:szCs w:val="19"/>
          <w:rtl/>
        </w:rPr>
        <w:t xml:space="preserve"> [3]</w:t>
      </w:r>
      <w:r>
        <w:rPr>
          <w:rFonts w:hint="cs"/>
          <w:rtl/>
        </w:rPr>
        <w:t>. ייתכנו מקרים לא מעטים שבהם מתקיימת בצד הפגיעה בתחרות, המונחת ביסוד ההסדר הכובל, גם תכלית חיובית כלשהי (וראו גילה</w:t>
      </w:r>
      <w:r w:rsidR="0035734A">
        <w:rPr>
          <w:rFonts w:hint="cs"/>
          <w:rtl/>
        </w:rPr>
        <w:t xml:space="preserve">, במאמרו הנ"ל </w:t>
      </w:r>
      <w:r w:rsidR="0035734A" w:rsidRPr="0035734A">
        <w:rPr>
          <w:rFonts w:cs="Miriam" w:hint="cs"/>
          <w:szCs w:val="19"/>
          <w:rtl/>
        </w:rPr>
        <w:t>[</w:t>
      </w:r>
      <w:r w:rsidR="00BA5973">
        <w:rPr>
          <w:rFonts w:cs="Miriam" w:hint="cs"/>
          <w:szCs w:val="19"/>
          <w:rtl/>
        </w:rPr>
        <w:t>34</w:t>
      </w:r>
      <w:r w:rsidR="0035734A" w:rsidRPr="0035734A">
        <w:rPr>
          <w:rFonts w:cs="Miriam" w:hint="cs"/>
          <w:szCs w:val="19"/>
          <w:rtl/>
        </w:rPr>
        <w:t>]</w:t>
      </w:r>
      <w:r>
        <w:rPr>
          <w:rFonts w:hint="cs"/>
          <w:rtl/>
        </w:rPr>
        <w:t>,</w:t>
      </w:r>
      <w:r w:rsidR="0035734A">
        <w:rPr>
          <w:rFonts w:hint="cs"/>
          <w:rtl/>
        </w:rPr>
        <w:t xml:space="preserve"> </w:t>
      </w:r>
      <w:r w:rsidR="0035734A">
        <w:rPr>
          <w:rFonts w:cs="Miriam" w:hint="cs"/>
          <w:szCs w:val="19"/>
          <w:rtl/>
        </w:rPr>
        <w:t>בעמ'</w:t>
      </w:r>
      <w:r w:rsidRPr="0035734A">
        <w:rPr>
          <w:rFonts w:cs="Miriam" w:hint="cs"/>
          <w:szCs w:val="19"/>
          <w:rtl/>
        </w:rPr>
        <w:t xml:space="preserve"> 757-756</w:t>
      </w:r>
      <w:r w:rsidRPr="0035734A">
        <w:rPr>
          <w:rFonts w:hint="cs"/>
          <w:rtl/>
        </w:rPr>
        <w:t xml:space="preserve"> </w:t>
      </w:r>
      <w:r>
        <w:rPr>
          <w:rFonts w:hint="cs"/>
          <w:rtl/>
        </w:rPr>
        <w:t xml:space="preserve">והמקורות המוזכרים </w:t>
      </w:r>
      <w:r w:rsidRPr="0035734A">
        <w:rPr>
          <w:rFonts w:cs="Miriam" w:hint="cs"/>
          <w:szCs w:val="19"/>
          <w:rtl/>
        </w:rPr>
        <w:t>שם</w:t>
      </w:r>
      <w:r>
        <w:rPr>
          <w:rFonts w:hint="cs"/>
          <w:rtl/>
        </w:rPr>
        <w:t xml:space="preserve">). ראיה </w:t>
      </w:r>
    </w:p>
    <w:p w:rsidR="006A180F" w:rsidRDefault="00D35634" w:rsidP="00D35634">
      <w:pPr>
        <w:pStyle w:val="a"/>
        <w:ind w:firstLine="0"/>
        <w:rPr>
          <w:rFonts w:hint="cs"/>
          <w:rtl/>
        </w:rPr>
      </w:pPr>
      <w:r>
        <w:rPr>
          <w:rtl/>
        </w:rPr>
        <w:br w:type="page"/>
      </w:r>
      <w:r w:rsidR="006A180F">
        <w:rPr>
          <w:rFonts w:hint="cs"/>
          <w:rtl/>
        </w:rPr>
        <w:t xml:space="preserve">לכך היא המנגנון הקבוע </w:t>
      </w:r>
      <w:hyperlink r:id="rId265" w:history="1">
        <w:r w:rsidR="009E75A0" w:rsidRPr="009E75A0">
          <w:rPr>
            <w:color w:val="0000FF"/>
            <w:u w:val="single"/>
            <w:rtl/>
          </w:rPr>
          <w:t>בסעיף 9</w:t>
        </w:r>
      </w:hyperlink>
      <w:r w:rsidR="006A180F">
        <w:rPr>
          <w:rFonts w:hint="cs"/>
          <w:rtl/>
        </w:rPr>
        <w:t xml:space="preserve"> לחוק, שמכוחו בית הדין להגבלים עסקיים מוסמך לאשר גם כבילות מובהקות הבאות בגדר החזקות החלוטות </w:t>
      </w:r>
      <w:hyperlink r:id="rId266" w:history="1">
        <w:r w:rsidR="009E75A0" w:rsidRPr="009E75A0">
          <w:rPr>
            <w:color w:val="0000FF"/>
            <w:u w:val="single"/>
            <w:rtl/>
          </w:rPr>
          <w:t>שבסעיף 2(ב)</w:t>
        </w:r>
      </w:hyperlink>
      <w:r w:rsidR="006A180F">
        <w:rPr>
          <w:rFonts w:hint="cs"/>
          <w:rtl/>
        </w:rPr>
        <w:t xml:space="preserve"> לחוק, אם מצא כי יש בהן יתרונות לציבור העולים באופן ממשי על הנזק העלול להיגרם לו מן ההסדר, בין השאר באותם עניינים המנויים </w:t>
      </w:r>
      <w:hyperlink r:id="rId267" w:history="1">
        <w:r w:rsidR="009E75A0" w:rsidRPr="009E75A0">
          <w:rPr>
            <w:color w:val="0000FF"/>
            <w:u w:val="single"/>
            <w:rtl/>
          </w:rPr>
          <w:t>בסעיף 10</w:t>
        </w:r>
      </w:hyperlink>
      <w:r w:rsidR="006A180F">
        <w:rPr>
          <w:rFonts w:hint="cs"/>
          <w:rtl/>
        </w:rPr>
        <w:t xml:space="preserve"> לחוק. </w:t>
      </w:r>
    </w:p>
    <w:p w:rsidR="006A180F" w:rsidRDefault="006A180F" w:rsidP="00166A59">
      <w:pPr>
        <w:pStyle w:val="a"/>
        <w:rPr>
          <w:rFonts w:hint="cs"/>
          <w:rtl/>
        </w:rPr>
      </w:pPr>
      <w:r>
        <w:rPr>
          <w:rFonts w:hint="cs"/>
          <w:rtl/>
        </w:rPr>
        <w:t>2.</w:t>
      </w:r>
      <w:r>
        <w:rPr>
          <w:rFonts w:hint="cs"/>
          <w:rtl/>
        </w:rPr>
        <w:tab/>
        <w:t xml:space="preserve">מקובלת עליי קביעתו של חברי כי כעניין שבעיקרון חל הסייג בדבר "זוטי דברים" הקבוע </w:t>
      </w:r>
      <w:hyperlink r:id="rId268" w:history="1">
        <w:r w:rsidR="009E75A0" w:rsidRPr="009E75A0">
          <w:rPr>
            <w:color w:val="0000FF"/>
            <w:u w:val="single"/>
            <w:rtl/>
          </w:rPr>
          <w:t>בסעיף 34יז</w:t>
        </w:r>
      </w:hyperlink>
      <w:r>
        <w:rPr>
          <w:rFonts w:hint="cs"/>
          <w:rtl/>
        </w:rPr>
        <w:t xml:space="preserve"> ל</w:t>
      </w:r>
      <w:hyperlink r:id="rId269" w:history="1">
        <w:r w:rsidR="00A7624C" w:rsidRPr="00A7624C">
          <w:rPr>
            <w:rStyle w:val="Hyperlink"/>
            <w:rtl/>
          </w:rPr>
          <w:t>חוק העונשין</w:t>
        </w:r>
      </w:hyperlink>
      <w:r>
        <w:rPr>
          <w:rFonts w:hint="cs"/>
          <w:rtl/>
        </w:rPr>
        <w:t xml:space="preserve"> גם על עבירות לפי </w:t>
      </w:r>
      <w:hyperlink r:id="rId270" w:history="1">
        <w:r w:rsidR="00A7624C" w:rsidRPr="00A7624C">
          <w:rPr>
            <w:rStyle w:val="Hyperlink"/>
            <w:rtl/>
          </w:rPr>
          <w:t>חוק ההגבלים העסקיים</w:t>
        </w:r>
      </w:hyperlink>
      <w:r>
        <w:rPr>
          <w:rFonts w:hint="cs"/>
          <w:rtl/>
        </w:rPr>
        <w:t xml:space="preserve"> (ראו </w:t>
      </w:r>
      <w:hyperlink r:id="rId271" w:history="1">
        <w:r w:rsidR="00AD4D63" w:rsidRPr="00AD4D63">
          <w:rPr>
            <w:rFonts w:cs="Miriam"/>
            <w:color w:val="0000FF"/>
            <w:szCs w:val="19"/>
            <w:u w:val="single"/>
            <w:rtl/>
          </w:rPr>
          <w:t>ע"א 3700/98</w:t>
        </w:r>
      </w:hyperlink>
      <w:r w:rsidR="0035734A">
        <w:rPr>
          <w:rFonts w:cs="Miriam" w:hint="cs"/>
          <w:szCs w:val="19"/>
          <w:rtl/>
        </w:rPr>
        <w:t xml:space="preserve"> הנ"ל</w:t>
      </w:r>
      <w:r>
        <w:rPr>
          <w:rFonts w:hint="cs"/>
          <w:rtl/>
        </w:rPr>
        <w:t xml:space="preserve"> (להלן</w:t>
      </w:r>
      <w:r w:rsidR="0035734A">
        <w:rPr>
          <w:rFonts w:hint="cs"/>
          <w:rtl/>
        </w:rPr>
        <w:t xml:space="preserve"> –</w:t>
      </w:r>
      <w:r>
        <w:rPr>
          <w:rFonts w:hint="cs"/>
          <w:rtl/>
        </w:rPr>
        <w:t xml:space="preserve"> </w:t>
      </w:r>
      <w:r w:rsidRPr="0035734A">
        <w:rPr>
          <w:rFonts w:hint="cs"/>
          <w:rtl/>
        </w:rPr>
        <w:t xml:space="preserve">פרשת </w:t>
      </w:r>
      <w:r w:rsidRPr="0035734A">
        <w:rPr>
          <w:rFonts w:cs="Miriam" w:hint="cs"/>
          <w:szCs w:val="19"/>
          <w:rtl/>
        </w:rPr>
        <w:t>חניות</w:t>
      </w:r>
      <w:r w:rsidR="0035734A">
        <w:rPr>
          <w:rFonts w:cs="Miriam" w:hint="cs"/>
          <w:szCs w:val="19"/>
          <w:rtl/>
        </w:rPr>
        <w:t xml:space="preserve"> [4]</w:t>
      </w:r>
      <w:r>
        <w:rPr>
          <w:rFonts w:hint="cs"/>
          <w:rtl/>
        </w:rPr>
        <w:t>)</w:t>
      </w:r>
      <w:r w:rsidR="0035734A">
        <w:rPr>
          <w:rFonts w:hint="cs"/>
          <w:rtl/>
        </w:rPr>
        <w:t xml:space="preserve">, </w:t>
      </w:r>
      <w:r w:rsidR="0035734A">
        <w:rPr>
          <w:rFonts w:cs="Miriam" w:hint="cs"/>
          <w:szCs w:val="19"/>
          <w:rtl/>
        </w:rPr>
        <w:t>בעמ' 601</w:t>
      </w:r>
      <w:r>
        <w:rPr>
          <w:rFonts w:hint="cs"/>
          <w:rtl/>
        </w:rPr>
        <w:t>). כן מקובלת עליי עמדתו כי המקרה שלפנינו איננו בא בגדר הסייג. אך ראיתי לנכון להתייחס בהקשר זה לטענה אחרת שהעלתה המערערת בפנינו, שאליה לא נדרש חברי. לגישתה, הסייג של "זוטי</w:t>
      </w:r>
      <w:r w:rsidR="00166A59">
        <w:rPr>
          <w:rFonts w:hint="cs"/>
          <w:rtl/>
        </w:rPr>
        <w:t xml:space="preserve"> </w:t>
      </w:r>
      <w:r>
        <w:rPr>
          <w:rFonts w:hint="cs"/>
          <w:rtl/>
        </w:rPr>
        <w:t>דברים" אינו חל א</w:t>
      </w:r>
      <w:r w:rsidRPr="0035734A">
        <w:rPr>
          <w:rFonts w:hint="cs"/>
          <w:position w:val="4"/>
          <w:rtl/>
        </w:rPr>
        <w:t>-</w:t>
      </w:r>
      <w:r>
        <w:rPr>
          <w:rFonts w:hint="cs"/>
          <w:rtl/>
        </w:rPr>
        <w:t xml:space="preserve">פריורי על הסדר הנופל בגדר אחת החזקות החלוטות </w:t>
      </w:r>
      <w:hyperlink r:id="rId272" w:history="1">
        <w:r w:rsidR="009E75A0" w:rsidRPr="009E75A0">
          <w:rPr>
            <w:color w:val="0000FF"/>
            <w:u w:val="single"/>
            <w:rtl/>
          </w:rPr>
          <w:t>שבסעיף 2(ב)</w:t>
        </w:r>
      </w:hyperlink>
      <w:r>
        <w:rPr>
          <w:rFonts w:hint="cs"/>
          <w:rtl/>
        </w:rPr>
        <w:t xml:space="preserve"> לחוק, משום שבקובעו את אותן החזקות הביע המחוקק דעתו כי מדובר בפגיעה של ממש בתחרות, שאין לראותה כזוטי</w:t>
      </w:r>
      <w:r w:rsidR="00166A59">
        <w:rPr>
          <w:rFonts w:hint="cs"/>
          <w:position w:val="4"/>
          <w:rtl/>
        </w:rPr>
        <w:t xml:space="preserve"> </w:t>
      </w:r>
      <w:r>
        <w:rPr>
          <w:rFonts w:hint="cs"/>
          <w:rtl/>
        </w:rPr>
        <w:t>דברים. טענה זו הועלתה ונדחתה לאחרונה ב</w:t>
      </w:r>
      <w:hyperlink r:id="rId273" w:history="1">
        <w:r w:rsidR="004C5B7C" w:rsidRPr="00AD4D63">
          <w:rPr>
            <w:rStyle w:val="Hyperlink"/>
            <w:rFonts w:cs="Miriam" w:hint="eastAsia"/>
            <w:szCs w:val="19"/>
            <w:rtl/>
          </w:rPr>
          <w:t>ע</w:t>
        </w:r>
        <w:r w:rsidR="004C5B7C" w:rsidRPr="00AD4D63">
          <w:rPr>
            <w:rStyle w:val="Hyperlink"/>
            <w:rFonts w:cs="Miriam"/>
            <w:szCs w:val="19"/>
            <w:rtl/>
          </w:rPr>
          <w:t>"פ 4855/02</w:t>
        </w:r>
      </w:hyperlink>
      <w:r w:rsidR="0035734A">
        <w:rPr>
          <w:rFonts w:cs="Miriam" w:hint="cs"/>
          <w:szCs w:val="19"/>
          <w:rtl/>
        </w:rPr>
        <w:t xml:space="preserve"> הנ"ל </w:t>
      </w:r>
      <w:r w:rsidR="0035734A">
        <w:rPr>
          <w:rFonts w:hint="cs"/>
          <w:rtl/>
        </w:rPr>
        <w:t xml:space="preserve">(להלן – </w:t>
      </w:r>
      <w:r w:rsidR="0035734A" w:rsidRPr="0035734A">
        <w:rPr>
          <w:rFonts w:hint="cs"/>
          <w:rtl/>
        </w:rPr>
        <w:t>פרשת</w:t>
      </w:r>
      <w:r w:rsidR="0035734A" w:rsidRPr="0035734A">
        <w:rPr>
          <w:rFonts w:cs="Miriam" w:hint="cs"/>
          <w:sz w:val="28"/>
          <w:rtl/>
        </w:rPr>
        <w:t xml:space="preserve"> </w:t>
      </w:r>
      <w:r w:rsidR="0035734A" w:rsidRPr="0035734A">
        <w:rPr>
          <w:rFonts w:cs="Miriam" w:hint="cs"/>
          <w:szCs w:val="19"/>
          <w:rtl/>
        </w:rPr>
        <w:t>בורוביץ</w:t>
      </w:r>
      <w:r w:rsidR="0035734A">
        <w:rPr>
          <w:rFonts w:cs="Miriam" w:hint="cs"/>
          <w:szCs w:val="19"/>
          <w:rtl/>
        </w:rPr>
        <w:t xml:space="preserve"> [14]</w:t>
      </w:r>
      <w:r w:rsidR="0035734A">
        <w:rPr>
          <w:rFonts w:hint="cs"/>
          <w:rtl/>
        </w:rPr>
        <w:t>)</w:t>
      </w:r>
      <w:r>
        <w:rPr>
          <w:rFonts w:hint="cs"/>
          <w:rtl/>
        </w:rPr>
        <w:t xml:space="preserve">, </w:t>
      </w:r>
      <w:r w:rsidR="00BF001A">
        <w:rPr>
          <w:rFonts w:cs="Miriam" w:hint="cs"/>
          <w:szCs w:val="19"/>
          <w:rtl/>
        </w:rPr>
        <w:t>בעמ'</w:t>
      </w:r>
      <w:r w:rsidR="00BA5973">
        <w:rPr>
          <w:rFonts w:cs="Miriam" w:hint="eastAsia"/>
          <w:szCs w:val="19"/>
          <w:rtl/>
        </w:rPr>
        <w:t> </w:t>
      </w:r>
      <w:r w:rsidR="00BF001A">
        <w:rPr>
          <w:rFonts w:cs="Miriam" w:hint="cs"/>
          <w:szCs w:val="19"/>
          <w:rtl/>
        </w:rPr>
        <w:t>868-867, 937-935</w:t>
      </w:r>
      <w:r>
        <w:rPr>
          <w:rFonts w:hint="cs"/>
          <w:rtl/>
        </w:rPr>
        <w:t xml:space="preserve">, ואף לדעתי מן הראוי לבחון כל מקרה לפי נסיבותיו, ואין מקום לקביעה נחרצת שלפיה הסייג בדבר זוטי דברים לעולם לא יחול מקום שההסדר מושא העבירה בא בגדר החזקות החלוטות </w:t>
      </w:r>
      <w:hyperlink r:id="rId274" w:history="1">
        <w:r w:rsidR="009E75A0" w:rsidRPr="009E75A0">
          <w:rPr>
            <w:color w:val="0000FF"/>
            <w:u w:val="single"/>
            <w:rtl/>
          </w:rPr>
          <w:t>שבסעיף 2(ב)</w:t>
        </w:r>
      </w:hyperlink>
      <w:r>
        <w:rPr>
          <w:rFonts w:hint="cs"/>
          <w:rtl/>
        </w:rPr>
        <w:t xml:space="preserve"> לחוק.</w:t>
      </w:r>
    </w:p>
    <w:p w:rsidR="006A180F" w:rsidRDefault="006A180F" w:rsidP="006E1444">
      <w:pPr>
        <w:pStyle w:val="a"/>
        <w:rPr>
          <w:rFonts w:hint="cs"/>
          <w:rtl/>
        </w:rPr>
      </w:pPr>
      <w:r>
        <w:rPr>
          <w:rFonts w:hint="cs"/>
          <w:rtl/>
        </w:rPr>
        <w:t>3.</w:t>
      </w:r>
      <w:r>
        <w:rPr>
          <w:rFonts w:hint="cs"/>
          <w:rtl/>
        </w:rPr>
        <w:tab/>
        <w:t xml:space="preserve">לבסוף אני מבקשת לחלוק על דבריו של חברי הסבור כי מאז שנפסקה הלכת </w:t>
      </w:r>
      <w:r w:rsidRPr="001867CF">
        <w:rPr>
          <w:rFonts w:cs="Miriam" w:hint="cs"/>
          <w:szCs w:val="19"/>
          <w:rtl/>
        </w:rPr>
        <w:t>טבעול</w:t>
      </w:r>
      <w:r w:rsidR="00BF001A">
        <w:rPr>
          <w:rFonts w:cs="Miriam" w:hint="cs"/>
          <w:szCs w:val="19"/>
          <w:rtl/>
        </w:rPr>
        <w:t xml:space="preserve"> [3]</w:t>
      </w:r>
      <w:r>
        <w:rPr>
          <w:rFonts w:hint="cs"/>
          <w:rtl/>
        </w:rPr>
        <w:t xml:space="preserve"> "החלו להיראות בה סימנים של כרסום". כראיה לעמדתו מפנה חברי אל פסק הדין ב</w:t>
      </w:r>
      <w:r w:rsidRPr="00C40938">
        <w:rPr>
          <w:rFonts w:hint="cs"/>
          <w:rtl/>
        </w:rPr>
        <w:t>פרשת</w:t>
      </w:r>
      <w:r w:rsidRPr="00674E15">
        <w:rPr>
          <w:rFonts w:cs="Miriam" w:hint="cs"/>
          <w:sz w:val="28"/>
          <w:rtl/>
        </w:rPr>
        <w:t xml:space="preserve"> </w:t>
      </w:r>
      <w:r w:rsidRPr="00BF001A">
        <w:rPr>
          <w:rFonts w:cs="Miriam" w:hint="cs"/>
          <w:szCs w:val="19"/>
          <w:rtl/>
        </w:rPr>
        <w:t>חניות</w:t>
      </w:r>
      <w:r w:rsidR="00BF001A">
        <w:rPr>
          <w:rFonts w:cs="Miriam" w:hint="cs"/>
          <w:szCs w:val="19"/>
          <w:rtl/>
        </w:rPr>
        <w:t xml:space="preserve"> [4]</w:t>
      </w:r>
      <w:r w:rsidRPr="00BF001A">
        <w:rPr>
          <w:rFonts w:hint="cs"/>
          <w:rtl/>
        </w:rPr>
        <w:t xml:space="preserve"> </w:t>
      </w:r>
      <w:r>
        <w:rPr>
          <w:rFonts w:hint="cs"/>
          <w:rtl/>
        </w:rPr>
        <w:t>ו</w:t>
      </w:r>
      <w:r w:rsidRPr="00674E15">
        <w:rPr>
          <w:rFonts w:hint="cs"/>
          <w:rtl/>
        </w:rPr>
        <w:t>ל</w:t>
      </w:r>
      <w:hyperlink r:id="rId275" w:history="1">
        <w:r w:rsidR="004C5B7C" w:rsidRPr="00AD4D63">
          <w:rPr>
            <w:rStyle w:val="Hyperlink"/>
            <w:rFonts w:cs="Miriam" w:hint="eastAsia"/>
            <w:szCs w:val="19"/>
            <w:rtl/>
          </w:rPr>
          <w:t>עע</w:t>
        </w:r>
        <w:r w:rsidR="004C5B7C" w:rsidRPr="00AD4D63">
          <w:rPr>
            <w:rStyle w:val="Hyperlink"/>
            <w:rFonts w:cs="Miriam"/>
            <w:szCs w:val="19"/>
            <w:rtl/>
          </w:rPr>
          <w:t>"מ 6464/03</w:t>
        </w:r>
      </w:hyperlink>
      <w:r w:rsidRPr="00BF001A">
        <w:rPr>
          <w:rFonts w:hint="cs"/>
          <w:rtl/>
        </w:rPr>
        <w:t xml:space="preserve"> </w:t>
      </w:r>
      <w:r w:rsidR="00BF001A">
        <w:rPr>
          <w:rFonts w:cs="Miriam" w:hint="cs"/>
          <w:szCs w:val="19"/>
          <w:rtl/>
        </w:rPr>
        <w:t>הנ"ל [5]</w:t>
      </w:r>
      <w:r w:rsidRPr="00674E15">
        <w:rPr>
          <w:rFonts w:hint="cs"/>
          <w:rtl/>
        </w:rPr>
        <w:t xml:space="preserve"> ול</w:t>
      </w:r>
      <w:hyperlink r:id="rId276" w:history="1">
        <w:r w:rsidR="004C5B7C" w:rsidRPr="00AD4D63">
          <w:rPr>
            <w:rStyle w:val="Hyperlink"/>
            <w:rFonts w:cs="Miriam" w:hint="eastAsia"/>
            <w:szCs w:val="19"/>
            <w:rtl/>
          </w:rPr>
          <w:t>רע</w:t>
        </w:r>
        <w:r w:rsidR="004C5B7C" w:rsidRPr="00AD4D63">
          <w:rPr>
            <w:rStyle w:val="Hyperlink"/>
            <w:rFonts w:cs="Miriam"/>
            <w:szCs w:val="19"/>
            <w:rtl/>
          </w:rPr>
          <w:t>"א 6233/02</w:t>
        </w:r>
      </w:hyperlink>
      <w:r w:rsidRPr="00BF001A">
        <w:rPr>
          <w:rFonts w:hint="cs"/>
          <w:rtl/>
        </w:rPr>
        <w:t xml:space="preserve"> </w:t>
      </w:r>
      <w:r w:rsidR="00BF001A">
        <w:rPr>
          <w:rFonts w:cs="Miriam" w:hint="cs"/>
          <w:szCs w:val="19"/>
          <w:rtl/>
        </w:rPr>
        <w:t>הנ"ל [6]</w:t>
      </w:r>
      <w:r>
        <w:rPr>
          <w:rFonts w:hint="cs"/>
          <w:rtl/>
        </w:rPr>
        <w:t xml:space="preserve">. לגישתי, </w:t>
      </w:r>
      <w:r w:rsidRPr="00BA5973">
        <w:rPr>
          <w:rFonts w:hint="cs"/>
          <w:spacing w:val="-2"/>
          <w:rtl/>
        </w:rPr>
        <w:t xml:space="preserve">אין מדובר ב"כרסום" שחל בהלכת </w:t>
      </w:r>
      <w:r w:rsidRPr="00BA5973">
        <w:rPr>
          <w:rFonts w:cs="Miriam" w:hint="cs"/>
          <w:spacing w:val="-2"/>
          <w:szCs w:val="19"/>
          <w:rtl/>
        </w:rPr>
        <w:t>טבעול</w:t>
      </w:r>
      <w:r w:rsidR="00BF001A" w:rsidRPr="00BA5973">
        <w:rPr>
          <w:rFonts w:cs="Miriam" w:hint="cs"/>
          <w:spacing w:val="-2"/>
          <w:szCs w:val="19"/>
          <w:rtl/>
        </w:rPr>
        <w:t xml:space="preserve"> [3]</w:t>
      </w:r>
      <w:r w:rsidRPr="00BA5973">
        <w:rPr>
          <w:rFonts w:hint="cs"/>
          <w:spacing w:val="-2"/>
          <w:rtl/>
        </w:rPr>
        <w:t xml:space="preserve">, אלא בפרשנות תכליתית של </w:t>
      </w:r>
      <w:hyperlink r:id="rId277" w:history="1">
        <w:r w:rsidR="00A7624C" w:rsidRPr="00A7624C">
          <w:rPr>
            <w:rStyle w:val="Hyperlink"/>
            <w:spacing w:val="-2"/>
            <w:rtl/>
          </w:rPr>
          <w:t>חוק ההגבלים העסקיים</w:t>
        </w:r>
      </w:hyperlink>
      <w:r w:rsidR="00166A59">
        <w:rPr>
          <w:rFonts w:hint="cs"/>
          <w:spacing w:val="-2"/>
          <w:rtl/>
        </w:rPr>
        <w:t xml:space="preserve"> </w:t>
      </w:r>
      <w:r w:rsidRPr="00BA5973">
        <w:rPr>
          <w:rFonts w:hint="cs"/>
          <w:spacing w:val="-2"/>
          <w:rtl/>
        </w:rPr>
        <w:t xml:space="preserve">והוראת </w:t>
      </w:r>
      <w:hyperlink r:id="rId278" w:history="1">
        <w:r w:rsidR="009E75A0" w:rsidRPr="009E75A0">
          <w:rPr>
            <w:color w:val="0000FF"/>
            <w:spacing w:val="-2"/>
            <w:u w:val="single"/>
            <w:rtl/>
          </w:rPr>
          <w:t>סעיף 2</w:t>
        </w:r>
      </w:hyperlink>
      <w:r w:rsidRPr="00BA5973">
        <w:rPr>
          <w:rFonts w:hint="cs"/>
          <w:spacing w:val="-2"/>
          <w:rtl/>
        </w:rPr>
        <w:t xml:space="preserve"> שבו, נוכח הגדרתו הרחבה של המונח "הסדר כובל", ובכללה החזקות החלוטות </w:t>
      </w:r>
      <w:hyperlink r:id="rId279" w:history="1">
        <w:r w:rsidR="009E75A0" w:rsidRPr="009E75A0">
          <w:rPr>
            <w:color w:val="0000FF"/>
            <w:spacing w:val="-2"/>
            <w:u w:val="single"/>
            <w:rtl/>
          </w:rPr>
          <w:t>שבסעיף 2(ב)</w:t>
        </w:r>
      </w:hyperlink>
      <w:r w:rsidRPr="00BA5973">
        <w:rPr>
          <w:rFonts w:hint="cs"/>
          <w:spacing w:val="-2"/>
          <w:rtl/>
        </w:rPr>
        <w:t xml:space="preserve"> (ראו לעניין זה גם: פרשת</w:t>
      </w:r>
      <w:r w:rsidRPr="00BA5973">
        <w:rPr>
          <w:rFonts w:cs="Miriam" w:hint="cs"/>
          <w:spacing w:val="-2"/>
          <w:sz w:val="28"/>
          <w:rtl/>
        </w:rPr>
        <w:t xml:space="preserve"> </w:t>
      </w:r>
      <w:r w:rsidRPr="00BA5973">
        <w:rPr>
          <w:rFonts w:cs="Miriam" w:hint="cs"/>
          <w:spacing w:val="-2"/>
          <w:szCs w:val="19"/>
          <w:rtl/>
        </w:rPr>
        <w:t>בורוביץ'</w:t>
      </w:r>
      <w:r w:rsidR="00BF001A" w:rsidRPr="00BA5973">
        <w:rPr>
          <w:rFonts w:cs="Miriam" w:hint="cs"/>
          <w:spacing w:val="-2"/>
          <w:szCs w:val="19"/>
          <w:rtl/>
        </w:rPr>
        <w:t xml:space="preserve"> [14]</w:t>
      </w:r>
      <w:r w:rsidRPr="00BA5973">
        <w:rPr>
          <w:rFonts w:hint="cs"/>
          <w:spacing w:val="-2"/>
          <w:rtl/>
        </w:rPr>
        <w:t xml:space="preserve">, </w:t>
      </w:r>
      <w:r w:rsidR="00BF001A" w:rsidRPr="00BA5973">
        <w:rPr>
          <w:rFonts w:cs="Miriam" w:hint="cs"/>
          <w:spacing w:val="-2"/>
          <w:szCs w:val="19"/>
          <w:rtl/>
        </w:rPr>
        <w:t>בעמ' 871-87</w:t>
      </w:r>
      <w:r w:rsidR="006E1444">
        <w:rPr>
          <w:rFonts w:cs="Miriam" w:hint="cs"/>
          <w:spacing w:val="-2"/>
          <w:szCs w:val="19"/>
          <w:rtl/>
        </w:rPr>
        <w:t>0</w:t>
      </w:r>
      <w:r>
        <w:rPr>
          <w:rFonts w:hint="cs"/>
          <w:rtl/>
        </w:rPr>
        <w:t xml:space="preserve">; </w:t>
      </w:r>
      <w:hyperlink r:id="rId280" w:history="1">
        <w:r w:rsidR="004C5B7C" w:rsidRPr="004C5B7C">
          <w:rPr>
            <w:rStyle w:val="Hyperlink"/>
            <w:rFonts w:cs="Miriam" w:hint="eastAsia"/>
            <w:szCs w:val="19"/>
            <w:rtl/>
          </w:rPr>
          <w:t>ת</w:t>
        </w:r>
        <w:r w:rsidR="004C5B7C" w:rsidRPr="004C5B7C">
          <w:rPr>
            <w:rStyle w:val="Hyperlink"/>
            <w:rFonts w:cs="Miriam"/>
            <w:szCs w:val="19"/>
            <w:rtl/>
          </w:rPr>
          <w:t>"פ (י-ם) 385/98</w:t>
        </w:r>
      </w:hyperlink>
      <w:r w:rsidRPr="00BF001A">
        <w:rPr>
          <w:rFonts w:cs="Miriam" w:hint="cs"/>
          <w:szCs w:val="19"/>
          <w:rtl/>
        </w:rPr>
        <w:t xml:space="preserve"> מדינת ישראל נ' חברת טגר בע"מ </w:t>
      </w:r>
      <w:r w:rsidR="00BF001A">
        <w:rPr>
          <w:rFonts w:cs="Miriam" w:hint="cs"/>
          <w:szCs w:val="19"/>
          <w:rtl/>
        </w:rPr>
        <w:t>[</w:t>
      </w:r>
      <w:r w:rsidR="00BA5973">
        <w:rPr>
          <w:rFonts w:cs="Miriam" w:hint="cs"/>
          <w:szCs w:val="19"/>
          <w:rtl/>
        </w:rPr>
        <w:t>26</w:t>
      </w:r>
      <w:r w:rsidR="00BF001A">
        <w:rPr>
          <w:rFonts w:cs="Miriam" w:hint="cs"/>
          <w:szCs w:val="19"/>
          <w:rtl/>
        </w:rPr>
        <w:t>]</w:t>
      </w:r>
      <w:r>
        <w:rPr>
          <w:rFonts w:hint="cs"/>
          <w:rtl/>
        </w:rPr>
        <w:t xml:space="preserve">, </w:t>
      </w:r>
      <w:r w:rsidR="00166A59">
        <w:rPr>
          <w:rFonts w:hint="cs"/>
          <w:rtl/>
        </w:rPr>
        <w:t>ב</w:t>
      </w:r>
      <w:r>
        <w:rPr>
          <w:rFonts w:hint="cs"/>
          <w:rtl/>
        </w:rPr>
        <w:t>פיסקאות 7-6</w:t>
      </w:r>
      <w:r w:rsidR="00166A59">
        <w:rPr>
          <w:rFonts w:hint="cs"/>
          <w:rtl/>
        </w:rPr>
        <w:t xml:space="preserve"> להכרעת הדין מיום 10.2.2005</w:t>
      </w:r>
      <w:r>
        <w:rPr>
          <w:rFonts w:hint="cs"/>
          <w:rtl/>
        </w:rPr>
        <w:t>).</w:t>
      </w:r>
      <w:r w:rsidR="00BA5973">
        <w:rPr>
          <w:rFonts w:hint="cs"/>
          <w:rtl/>
        </w:rPr>
        <w:t xml:space="preserve"> </w:t>
      </w:r>
    </w:p>
    <w:p w:rsidR="006A180F" w:rsidRDefault="006A180F" w:rsidP="005D40E8">
      <w:pPr>
        <w:pStyle w:val="a"/>
        <w:spacing w:before="480" w:after="120"/>
        <w:rPr>
          <w:rFonts w:hint="cs"/>
          <w:rtl/>
        </w:rPr>
      </w:pPr>
      <w:r>
        <w:rPr>
          <w:rFonts w:hint="cs"/>
          <w:rtl/>
        </w:rPr>
        <w:t xml:space="preserve">הוחלט כאמור בפסק דינו של </w:t>
      </w:r>
      <w:r w:rsidRPr="005D40E8">
        <w:rPr>
          <w:rFonts w:cs="Miriam" w:hint="cs"/>
          <w:szCs w:val="19"/>
          <w:rtl/>
        </w:rPr>
        <w:t>השופט א' א' לוי</w:t>
      </w:r>
      <w:r>
        <w:rPr>
          <w:rFonts w:hint="cs"/>
          <w:rtl/>
        </w:rPr>
        <w:t>.</w:t>
      </w:r>
    </w:p>
    <w:p w:rsidR="00CD5C20" w:rsidRDefault="006A180F" w:rsidP="00166A59">
      <w:pPr>
        <w:pStyle w:val="a"/>
        <w:rPr>
          <w:rtl/>
        </w:rPr>
      </w:pPr>
      <w:r>
        <w:rPr>
          <w:rFonts w:hint="cs"/>
          <w:rtl/>
        </w:rPr>
        <w:t>ניתן היום, ז' בתמוז תשס"ה (14.7.2005).</w:t>
      </w:r>
    </w:p>
    <w:p w:rsidR="00964728" w:rsidRDefault="00CD5C20" w:rsidP="00166A59">
      <w:pPr>
        <w:pStyle w:val="a"/>
        <w:rPr>
          <w:rFonts w:hint="cs"/>
          <w:rtl/>
        </w:rPr>
      </w:pPr>
      <w:r>
        <w:rPr>
          <w:rtl/>
        </w:rPr>
        <w:br w:type="page"/>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bookmarkStart w:id="5" w:name="ABSTRACT_START"/>
      <w:bookmarkEnd w:id="5"/>
      <w:r>
        <w:rPr>
          <w:rFonts w:cs="FrankRuehl"/>
          <w:sz w:val="22"/>
          <w:szCs w:val="26"/>
          <w:rtl/>
        </w:rPr>
        <w:t>מיני-רציו:</w:t>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r>
        <w:rPr>
          <w:rFonts w:cs="FrankRuehl"/>
          <w:sz w:val="22"/>
          <w:szCs w:val="26"/>
          <w:rtl/>
        </w:rPr>
        <w:t>* הגבלים עסקיים – הסדר כובל – מהו</w:t>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r>
        <w:rPr>
          <w:rFonts w:cs="FrankRuehl"/>
          <w:sz w:val="22"/>
          <w:szCs w:val="26"/>
          <w:rtl/>
        </w:rPr>
        <w:t>* הגבלים עסקיים – הסדר כובל – הוכחתו</w:t>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r>
        <w:rPr>
          <w:rFonts w:cs="FrankRuehl"/>
          <w:sz w:val="22"/>
          <w:szCs w:val="26"/>
          <w:rtl/>
        </w:rPr>
        <w:t>* הגבלים עסקיים – הסדר כובל – כעבירה</w:t>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r>
        <w:rPr>
          <w:rFonts w:cs="FrankRuehl"/>
          <w:sz w:val="22"/>
          <w:szCs w:val="26"/>
          <w:rtl/>
        </w:rPr>
        <w:t>* עונשין – הגנות  – זוטי דברים</w:t>
      </w:r>
    </w:p>
    <w:p w:rsidR="00CD5C20" w:rsidRDefault="00CD5C20" w:rsidP="00CD5C20">
      <w:pPr>
        <w:pBdr>
          <w:top w:val="single" w:sz="4" w:space="1" w:color="auto"/>
          <w:bottom w:val="single" w:sz="4" w:space="1" w:color="auto"/>
        </w:pBdr>
        <w:spacing w:after="120" w:line="320" w:lineRule="exact"/>
        <w:jc w:val="both"/>
        <w:rPr>
          <w:rFonts w:cs="FrankRuehl"/>
          <w:sz w:val="22"/>
          <w:szCs w:val="26"/>
          <w:rtl/>
        </w:rPr>
      </w:pPr>
      <w:r>
        <w:rPr>
          <w:rFonts w:cs="FrankRuehl"/>
          <w:sz w:val="22"/>
          <w:szCs w:val="26"/>
          <w:rtl/>
        </w:rPr>
        <w:t>* עונשין – הגנות  – חסינות</w:t>
      </w:r>
    </w:p>
    <w:p w:rsidR="004C5B7C" w:rsidRPr="004C5B7C" w:rsidRDefault="004C5B7C" w:rsidP="00CD5C20">
      <w:pPr>
        <w:pBdr>
          <w:top w:val="single" w:sz="4" w:space="1" w:color="auto"/>
          <w:bottom w:val="single" w:sz="4" w:space="1" w:color="auto"/>
        </w:pBdr>
        <w:spacing w:after="120" w:line="320" w:lineRule="exact"/>
        <w:jc w:val="both"/>
        <w:rPr>
          <w:rFonts w:cs="FrankRuehl"/>
          <w:color w:val="FFFFFF"/>
          <w:sz w:val="4"/>
          <w:szCs w:val="4"/>
          <w:rtl/>
        </w:rPr>
      </w:pPr>
    </w:p>
    <w:p w:rsidR="004C5B7C" w:rsidRPr="004C5B7C" w:rsidRDefault="004C5B7C" w:rsidP="00CD5C20">
      <w:pPr>
        <w:pBdr>
          <w:top w:val="single" w:sz="4" w:space="1" w:color="auto"/>
          <w:bottom w:val="single" w:sz="4" w:space="1" w:color="auto"/>
        </w:pBdr>
        <w:spacing w:after="120" w:line="320" w:lineRule="exact"/>
        <w:jc w:val="both"/>
        <w:rPr>
          <w:rFonts w:cs="FrankRuehl"/>
          <w:color w:val="FFFFFF"/>
          <w:sz w:val="2"/>
          <w:szCs w:val="2"/>
          <w:rtl/>
        </w:rPr>
      </w:pPr>
      <w:r w:rsidRPr="004C5B7C">
        <w:rPr>
          <w:rFonts w:cs="FrankRuehl"/>
          <w:color w:val="FFFFFF"/>
          <w:sz w:val="4"/>
          <w:szCs w:val="4"/>
          <w:rtl/>
        </w:rPr>
        <w:t>5129371</w:t>
      </w:r>
    </w:p>
    <w:p w:rsidR="00CD5C20" w:rsidRDefault="004C5B7C" w:rsidP="00CD5C20">
      <w:pPr>
        <w:pBdr>
          <w:top w:val="single" w:sz="4" w:space="1" w:color="auto"/>
          <w:bottom w:val="single" w:sz="4" w:space="1" w:color="auto"/>
        </w:pBdr>
        <w:spacing w:after="120" w:line="320" w:lineRule="exact"/>
        <w:jc w:val="both"/>
        <w:rPr>
          <w:rFonts w:cs="FrankRuehl"/>
          <w:sz w:val="22"/>
          <w:szCs w:val="26"/>
          <w:rtl/>
        </w:rPr>
      </w:pPr>
      <w:r w:rsidRPr="004C5B7C">
        <w:rPr>
          <w:rFonts w:cs="FrankRuehl"/>
          <w:color w:val="FFFFFF"/>
          <w:sz w:val="2"/>
          <w:szCs w:val="2"/>
          <w:rtl/>
        </w:rPr>
        <w:t>54678313</w:t>
      </w:r>
      <w:r w:rsidR="00CD5C20">
        <w:rPr>
          <w:rFonts w:cs="FrankRuehl"/>
          <w:sz w:val="22"/>
          <w:szCs w:val="26"/>
          <w:rtl/>
        </w:rPr>
        <w:t>* עונשין – סיוע לעבירה – יסודותיו</w:t>
      </w:r>
    </w:p>
    <w:p w:rsidR="00CD5C20" w:rsidRDefault="00CD5C20" w:rsidP="00CD5C20">
      <w:pPr>
        <w:pBdr>
          <w:top w:val="single" w:sz="4" w:space="1" w:color="auto"/>
          <w:bottom w:val="single" w:sz="4" w:space="1" w:color="auto"/>
        </w:pBdr>
        <w:spacing w:after="120" w:line="320" w:lineRule="exact"/>
        <w:jc w:val="both"/>
        <w:rPr>
          <w:rFonts w:cs="FrankRuehl" w:hint="cs"/>
          <w:sz w:val="22"/>
          <w:szCs w:val="26"/>
          <w:rtl/>
        </w:rPr>
      </w:pPr>
      <w:r>
        <w:rPr>
          <w:rFonts w:cs="FrankRuehl"/>
          <w:sz w:val="22"/>
          <w:szCs w:val="26"/>
          <w:rtl/>
        </w:rPr>
        <w:t>* עונשין – סיוע לעבירה – מטרה משותפת</w:t>
      </w:r>
    </w:p>
    <w:p w:rsidR="00CD5C20" w:rsidRDefault="00CD5C20" w:rsidP="00CD5C20">
      <w:pPr>
        <w:pBdr>
          <w:top w:val="single" w:sz="4" w:space="1" w:color="auto"/>
          <w:bottom w:val="single" w:sz="4" w:space="1" w:color="auto"/>
        </w:pBdr>
        <w:spacing w:after="120" w:line="320" w:lineRule="exact"/>
        <w:jc w:val="both"/>
        <w:rPr>
          <w:rFonts w:cs="FrankRuehl" w:hint="cs"/>
          <w:sz w:val="22"/>
          <w:szCs w:val="26"/>
          <w:rtl/>
        </w:rPr>
      </w:pPr>
      <w:r>
        <w:rPr>
          <w:rFonts w:cs="FrankRuehl" w:hint="cs"/>
          <w:sz w:val="22"/>
          <w:szCs w:val="26"/>
          <w:rtl/>
        </w:rPr>
        <w:t>.</w:t>
      </w:r>
    </w:p>
    <w:p w:rsidR="00CD5C20" w:rsidRDefault="00CD5C20" w:rsidP="00CD5C20">
      <w:pPr>
        <w:pBdr>
          <w:top w:val="single" w:sz="4" w:space="1" w:color="auto"/>
          <w:bottom w:val="single" w:sz="4" w:space="1" w:color="auto"/>
        </w:pBdr>
        <w:spacing w:after="120" w:line="320" w:lineRule="exact"/>
        <w:jc w:val="both"/>
        <w:rPr>
          <w:rFonts w:cs="FrankRuehl" w:hint="cs"/>
          <w:sz w:val="22"/>
          <w:szCs w:val="26"/>
          <w:rtl/>
        </w:rPr>
      </w:pPr>
      <w:r>
        <w:rPr>
          <w:rFonts w:cs="FrankRuehl" w:hint="cs"/>
          <w:sz w:val="22"/>
          <w:szCs w:val="26"/>
          <w:rtl/>
        </w:rPr>
        <w:t>המשיבה 1 הינה חברה המפעילה ומתחזקת מערכות רמזורים. המשיב 2 שימש כמנהל המשיבה 1. המשיב 3 שימש כבורר בין המשיבה 1 לחברת מנורה רמזורים בע"מ (להלן: מנורה). כנגד המשיבים 1 ו-2 ואחרים הוגש כתב אישום, לפיו הסכם הבוררות עולה לכדי הסדר כובל שמטרתו חלוקת שוק כך שמנורה תתחזק את מערכת הרמזורים בחיפה בעוד המשיבה 1 תתחזק את מערכת הרמזורים בירושלים. ביהמ"ש קמא זיכה את המשיבים 1 ו-2, בעוד שאר המעורבים הורשעו במסגרת הסדר טיעון או שהמערערת חזרה בה מהאישום. כמו כן, זיכה ביהמ"ש קמא את המשיב 3 מעבירה של סיוע ליצירת הסדר כובל. המדינה מערערת על הזיכוי.</w:t>
      </w:r>
      <w:bookmarkStart w:id="6" w:name="ABSTRACT_END"/>
      <w:bookmarkEnd w:id="6"/>
      <w:r>
        <w:rPr>
          <w:rFonts w:cs="FrankRuehl" w:hint="cs"/>
          <w:sz w:val="22"/>
          <w:szCs w:val="26"/>
          <w:rtl/>
        </w:rPr>
        <w:t xml:space="preserve"> </w:t>
      </w:r>
    </w:p>
    <w:p w:rsidR="004C5B7C" w:rsidRDefault="004C5B7C" w:rsidP="00166A59">
      <w:pPr>
        <w:pStyle w:val="a"/>
        <w:rPr>
          <w:rtl/>
        </w:rPr>
      </w:pPr>
    </w:p>
    <w:p w:rsidR="004C5B7C" w:rsidRDefault="004C5B7C" w:rsidP="00166A59">
      <w:pPr>
        <w:pStyle w:val="a"/>
        <w:rPr>
          <w:rtl/>
        </w:rPr>
      </w:pPr>
    </w:p>
    <w:p w:rsidR="004C5B7C" w:rsidRDefault="004C5B7C" w:rsidP="00A1395F">
      <w:pPr>
        <w:pStyle w:val="a"/>
        <w:jc w:val="center"/>
        <w:rPr>
          <w:rFonts w:cs="David"/>
          <w:color w:val="0000FF"/>
          <w:u w:val="single"/>
          <w:rtl/>
        </w:rPr>
      </w:pPr>
    </w:p>
    <w:p w:rsidR="00CD5C20" w:rsidRPr="004C5B7C" w:rsidRDefault="00CD5C20" w:rsidP="004C5B7C">
      <w:pPr>
        <w:pStyle w:val="a"/>
        <w:jc w:val="center"/>
        <w:rPr>
          <w:rFonts w:cs="David" w:hint="cs"/>
          <w:color w:val="0000FF"/>
          <w:u w:val="single"/>
        </w:rPr>
      </w:pPr>
    </w:p>
    <w:sectPr w:rsidR="00CD5C20" w:rsidRPr="004C5B7C" w:rsidSect="00D35634">
      <w:headerReference w:type="even" r:id="rId281"/>
      <w:headerReference w:type="default" r:id="rId282"/>
      <w:endnotePr>
        <w:numFmt w:val="lowerLetter"/>
      </w:endnotePr>
      <w:type w:val="continuous"/>
      <w:pgSz w:w="11907" w:h="16840" w:code="9"/>
      <w:pgMar w:top="3600" w:right="2693" w:bottom="1872" w:left="2693" w:header="2880" w:footer="1411" w:gutter="0"/>
      <w:cols w:space="720"/>
      <w:titlePg/>
      <w:bidi/>
      <w:rtlGutter/>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2A0" w:rsidRDefault="00DA12A0">
      <w:r>
        <w:separator/>
      </w:r>
    </w:p>
  </w:endnote>
  <w:endnote w:type="continuationSeparator" w:id="0">
    <w:p w:rsidR="00DA12A0" w:rsidRDefault="00DA1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riam">
    <w:panose1 w:val="020B05020501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DavidFix">
    <w:altName w:val="Arial"/>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95F" w:rsidRPr="00CD5C20" w:rsidRDefault="0025156A" w:rsidP="00A1395F">
    <w:pPr>
      <w:pStyle w:val="Footer"/>
      <w:tabs>
        <w:tab w:val="clear" w:pos="4153"/>
        <w:tab w:val="clear" w:pos="8306"/>
        <w:tab w:val="right" w:pos="6521"/>
        <w:tab w:val="center" w:pos="9640"/>
      </w:tabs>
      <w:spacing w:after="60"/>
      <w:rPr>
        <w:rStyle w:val="PageNumber"/>
        <w:rFonts w:cs="Times New Roman" w:hint="cs"/>
        <w:color w:val="000000"/>
        <w:sz w:val="14"/>
        <w:szCs w:val="14"/>
      </w:rPr>
    </w:pP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7406B4">
      <w:rPr>
        <w:rStyle w:val="PageNumber"/>
        <w:noProof/>
        <w:rtl/>
      </w:rPr>
      <w:t>138</w:t>
    </w:r>
    <w:r>
      <w:rPr>
        <w:rStyle w:val="PageNumber"/>
        <w:rtl/>
      </w:rPr>
      <w:fldChar w:fldCharType="end"/>
    </w:r>
    <w:r>
      <w:rPr>
        <w:rStyle w:val="PageNumber"/>
        <w:rtl/>
      </w:rPr>
      <w:tab/>
    </w:r>
  </w:p>
  <w:p w:rsidR="0025156A" w:rsidRPr="00CD5C20" w:rsidRDefault="0025156A" w:rsidP="00CD5C20">
    <w:pPr>
      <w:pStyle w:val="Footer"/>
      <w:pBdr>
        <w:top w:val="single" w:sz="4" w:space="1" w:color="auto"/>
        <w:between w:val="single" w:sz="4" w:space="0" w:color="auto"/>
      </w:pBdr>
      <w:tabs>
        <w:tab w:val="clear" w:pos="4153"/>
        <w:tab w:val="clear" w:pos="8306"/>
        <w:tab w:val="right" w:pos="6521"/>
        <w:tab w:val="center" w:pos="9640"/>
      </w:tabs>
      <w:rPr>
        <w:rStyle w:val="PageNumber"/>
        <w:rFonts w:cs="Times New Roman" w:hint="cs"/>
        <w:color w:val="000000"/>
        <w:sz w:val="14"/>
        <w:szCs w:val="14"/>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Pr="00CD5C20" w:rsidRDefault="0025156A" w:rsidP="00CD5C20">
    <w:pPr>
      <w:pStyle w:val="Footer"/>
      <w:pBdr>
        <w:top w:val="single" w:sz="4" w:space="1" w:color="auto"/>
        <w:between w:val="single" w:sz="4" w:space="0" w:color="auto"/>
      </w:pBdr>
      <w:tabs>
        <w:tab w:val="clear" w:pos="4153"/>
        <w:tab w:val="clear" w:pos="8306"/>
        <w:tab w:val="right" w:pos="6521"/>
        <w:tab w:val="center" w:pos="9640"/>
      </w:tabs>
      <w:rPr>
        <w:rStyle w:val="PageNumber"/>
        <w:rFonts w:cs="Times New Roman" w:hint="cs"/>
        <w:color w:val="000000"/>
        <w:sz w:val="14"/>
        <w:szCs w:val="14"/>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CD5C20">
    <w:pPr>
      <w:pStyle w:val="Footer"/>
      <w:tabs>
        <w:tab w:val="clear" w:pos="4153"/>
        <w:tab w:val="clear" w:pos="8306"/>
        <w:tab w:val="right" w:pos="6521"/>
        <w:tab w:val="center" w:pos="9640"/>
      </w:tabs>
      <w:spacing w:after="60"/>
      <w:rPr>
        <w:szCs w:val="21"/>
        <w:rtl/>
      </w:rPr>
    </w:pPr>
    <w:r>
      <w:rPr>
        <w:rStyle w:val="PageNumber"/>
        <w:rtl/>
      </w:rPr>
      <w:fldChar w:fldCharType="begin"/>
    </w:r>
    <w:r>
      <w:rPr>
        <w:rStyle w:val="PageNumber"/>
        <w:rtl/>
      </w:rPr>
      <w:instrText xml:space="preserve"> </w:instrText>
    </w:r>
    <w:r>
      <w:rPr>
        <w:rStyle w:val="PageNumber"/>
      </w:rPr>
      <w:instrText>PAGE</w:instrText>
    </w:r>
    <w:r>
      <w:rPr>
        <w:rStyle w:val="PageNumber"/>
        <w:rtl/>
      </w:rPr>
      <w:instrText xml:space="preserve"> </w:instrText>
    </w:r>
    <w:r>
      <w:rPr>
        <w:rStyle w:val="PageNumber"/>
        <w:rtl/>
      </w:rPr>
      <w:fldChar w:fldCharType="separate"/>
    </w:r>
    <w:r w:rsidR="007406B4">
      <w:rPr>
        <w:rStyle w:val="PageNumber"/>
        <w:noProof/>
        <w:rtl/>
      </w:rPr>
      <w:t>120</w:t>
    </w:r>
    <w:r>
      <w:rPr>
        <w:rStyle w:val="PageNumber"/>
        <w:rtl/>
      </w:rPr>
      <w:fldChar w:fldCharType="end"/>
    </w:r>
    <w:r>
      <w:rPr>
        <w:rStyle w:val="PageNumber"/>
        <w:rtl/>
      </w:rPr>
      <w:tab/>
    </w:r>
    <w:r>
      <w:rPr>
        <w:szCs w:val="21"/>
        <w:rtl/>
      </w:rPr>
      <w:t>פסקי</w:t>
    </w:r>
    <w:r>
      <w:rPr>
        <w:position w:val="3"/>
        <w:szCs w:val="21"/>
        <w:rtl/>
      </w:rPr>
      <w:t>-</w:t>
    </w:r>
    <w:r>
      <w:rPr>
        <w:szCs w:val="21"/>
        <w:rtl/>
      </w:rPr>
      <w:t xml:space="preserve">דין, כרך </w:t>
    </w:r>
    <w:r>
      <w:rPr>
        <w:rFonts w:hint="cs"/>
        <w:szCs w:val="21"/>
        <w:rtl/>
      </w:rPr>
      <w:t>ס</w:t>
    </w:r>
    <w:r>
      <w:rPr>
        <w:szCs w:val="21"/>
        <w:rtl/>
      </w:rPr>
      <w:t xml:space="preserve">, חלק </w:t>
    </w:r>
    <w:r>
      <w:rPr>
        <w:rFonts w:hint="cs"/>
        <w:szCs w:val="21"/>
        <w:rtl/>
      </w:rPr>
      <w:t>שני</w:t>
    </w:r>
    <w:r>
      <w:rPr>
        <w:szCs w:val="21"/>
        <w:rtl/>
      </w:rPr>
      <w:t>, תשס"</w:t>
    </w:r>
    <w:r>
      <w:rPr>
        <w:rFonts w:hint="cs"/>
        <w:szCs w:val="21"/>
        <w:rtl/>
      </w:rPr>
      <w:t>ו</w:t>
    </w:r>
    <w:r>
      <w:rPr>
        <w:szCs w:val="21"/>
        <w:rtl/>
      </w:rPr>
      <w:t>/תשס"</w:t>
    </w:r>
    <w:r>
      <w:rPr>
        <w:rFonts w:hint="cs"/>
        <w:szCs w:val="21"/>
        <w:rtl/>
      </w:rPr>
      <w:t>ז</w:t>
    </w:r>
    <w:r>
      <w:rPr>
        <w:szCs w:val="21"/>
        <w:rtl/>
      </w:rPr>
      <w:t xml:space="preserve"> </w:t>
    </w:r>
    <w:r>
      <w:rPr>
        <w:rFonts w:hint="cs"/>
        <w:szCs w:val="21"/>
        <w:rtl/>
      </w:rPr>
      <w:t>2006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2A0" w:rsidRDefault="00DA12A0">
      <w:r>
        <w:separator/>
      </w:r>
    </w:p>
  </w:footnote>
  <w:footnote w:type="continuationSeparator" w:id="0">
    <w:p w:rsidR="00DA12A0" w:rsidRDefault="00DA1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Pr="00860B7E" w:rsidRDefault="00A1395F" w:rsidP="00165B1B">
    <w:pPr>
      <w:pStyle w:val="2"/>
      <w:jc w:val="left"/>
      <w:rPr>
        <w:rFonts w:cs="FrankRuehl" w:hint="cs"/>
        <w:rtl/>
      </w:rPr>
    </w:pPr>
    <w:r w:rsidRPr="00860B7E">
      <w:rPr>
        <w:rFonts w:cs="FrankRuehl"/>
        <w:noProof/>
        <w:szCs w:val="22"/>
        <w:rtl/>
        <w:lang w:eastAsia="en-US"/>
      </w:rPr>
      <mc:AlternateContent>
        <mc:Choice Requires="wpg">
          <w:drawing>
            <wp:anchor distT="0" distB="0" distL="114300" distR="114300" simplePos="0" relativeHeight="251655680" behindDoc="0" locked="0" layoutInCell="0" allowOverlap="1">
              <wp:simplePos x="0" y="0"/>
              <wp:positionH relativeFrom="column">
                <wp:posOffset>-467995</wp:posOffset>
              </wp:positionH>
              <wp:positionV relativeFrom="margin">
                <wp:posOffset>323850</wp:posOffset>
              </wp:positionV>
              <wp:extent cx="171450" cy="5234940"/>
              <wp:effectExtent l="0" t="0" r="1270" b="3810"/>
              <wp:wrapNone/>
              <wp:docPr id="49"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50" name="Rectangle 34"/>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א</w:t>
                            </w:r>
                          </w:p>
                        </w:txbxContent>
                      </wps:txbx>
                      <wps:bodyPr rot="0" vert="horz" wrap="square" lIns="12700" tIns="12700" rIns="12700" bIns="12700" anchor="t" anchorCtr="0" upright="1">
                        <a:noAutofit/>
                      </wps:bodyPr>
                    </wps:wsp>
                    <wps:wsp>
                      <wps:cNvPr id="51" name="Rectangle 35"/>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ב</w:t>
                            </w:r>
                          </w:p>
                        </w:txbxContent>
                      </wps:txbx>
                      <wps:bodyPr rot="0" vert="horz" wrap="square" lIns="12700" tIns="12700" rIns="12700" bIns="12700" anchor="t" anchorCtr="0" upright="1">
                        <a:noAutofit/>
                      </wps:bodyPr>
                    </wps:wsp>
                    <wps:wsp>
                      <wps:cNvPr id="52" name="Rectangle 36"/>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ג</w:t>
                            </w:r>
                          </w:p>
                        </w:txbxContent>
                      </wps:txbx>
                      <wps:bodyPr rot="0" vert="horz" wrap="square" lIns="12700" tIns="12700" rIns="12700" bIns="12700" anchor="t" anchorCtr="0" upright="1">
                        <a:noAutofit/>
                      </wps:bodyPr>
                    </wps:wsp>
                    <wps:wsp>
                      <wps:cNvPr id="53" name="Rectangle 37"/>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ד</w:t>
                            </w:r>
                          </w:p>
                        </w:txbxContent>
                      </wps:txbx>
                      <wps:bodyPr rot="0" vert="horz" wrap="square" lIns="12700" tIns="12700" rIns="12700" bIns="12700" anchor="t" anchorCtr="0" upright="1">
                        <a:noAutofit/>
                      </wps:bodyPr>
                    </wps:wsp>
                    <wps:wsp>
                      <wps:cNvPr id="54" name="Rectangle 38"/>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ה</w:t>
                            </w:r>
                          </w:p>
                        </w:txbxContent>
                      </wps:txbx>
                      <wps:bodyPr rot="0" vert="horz" wrap="square" lIns="12700" tIns="12700" rIns="12700" bIns="12700" anchor="t" anchorCtr="0" upright="1">
                        <a:noAutofit/>
                      </wps:bodyPr>
                    </wps:wsp>
                    <wps:wsp>
                      <wps:cNvPr id="55" name="Rectangle 39"/>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ו</w:t>
                            </w:r>
                          </w:p>
                        </w:txbxContent>
                      </wps:txbx>
                      <wps:bodyPr rot="0" vert="horz" wrap="square" lIns="12700" tIns="12700" rIns="12700" bIns="12700" anchor="t" anchorCtr="0" upright="1">
                        <a:noAutofit/>
                      </wps:bodyPr>
                    </wps:wsp>
                    <wps:wsp>
                      <wps:cNvPr id="56" name="Rectangle 40"/>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3" o:spid="_x0000_s1026" style="position:absolute;left:0;text-align:left;margin-left:-36.85pt;margin-top:25.5pt;width:13.5pt;height:412.2pt;z-index:251655680;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" o:allowincell="f">
              <v:rect id="Rectangle 34" o:spid="_x0000_s1027"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rsidR="0025156A" w:rsidRDefault="0025156A" w:rsidP="00165B1B">
                      <w:pPr>
                        <w:rPr>
                          <w:rtl/>
                        </w:rPr>
                      </w:pPr>
                      <w:r>
                        <w:rPr>
                          <w:szCs w:val="28"/>
                          <w:rtl/>
                        </w:rPr>
                        <w:t>א</w:t>
                      </w:r>
                    </w:p>
                  </w:txbxContent>
                </v:textbox>
              </v:rect>
              <v:rect id="Rectangle 35" o:spid="_x0000_s1028"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" filled="f" stroked="f">
                <v:textbox inset="1pt,1pt,1pt,1pt">
                  <w:txbxContent>
                    <w:p w:rsidR="0025156A" w:rsidRDefault="0025156A" w:rsidP="00165B1B">
                      <w:pPr>
                        <w:rPr>
                          <w:rtl/>
                        </w:rPr>
                      </w:pPr>
                      <w:r>
                        <w:rPr>
                          <w:szCs w:val="28"/>
                          <w:rtl/>
                        </w:rPr>
                        <w:t>ב</w:t>
                      </w:r>
                    </w:p>
                  </w:txbxContent>
                </v:textbox>
              </v:rect>
              <v:rect id="Rectangle 36" o:spid="_x0000_s1029"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" filled="f" stroked="f">
                <v:textbox inset="1pt,1pt,1pt,1pt">
                  <w:txbxContent>
                    <w:p w:rsidR="0025156A" w:rsidRDefault="0025156A" w:rsidP="00165B1B">
                      <w:pPr>
                        <w:rPr>
                          <w:rtl/>
                        </w:rPr>
                      </w:pPr>
                      <w:r>
                        <w:rPr>
                          <w:szCs w:val="28"/>
                          <w:rtl/>
                        </w:rPr>
                        <w:t>ג</w:t>
                      </w:r>
                    </w:p>
                  </w:txbxContent>
                </v:textbox>
              </v:rect>
              <v:rect id="Rectangle 37" o:spid="_x0000_s1030"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P2ZxAAAANsAAAAPAAAAZHJzL2Rvd25yZXYueG1sRI/NasMw&#10;EITvgb6D2EAvoZbTk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E1c/ZnEAAAA2wAAAA8A&#10;AAAAAAAAAAAAAAAABwIAAGRycy9kb3ducmV2LnhtbFBLBQYAAAAAAwADALcAAAD4AgAAAAA=&#10;" filled="f" stroked="f">
                <v:textbox inset="1pt,1pt,1pt,1pt">
                  <w:txbxContent>
                    <w:p w:rsidR="0025156A" w:rsidRDefault="0025156A" w:rsidP="00165B1B">
                      <w:pPr>
                        <w:rPr>
                          <w:rtl/>
                        </w:rPr>
                      </w:pPr>
                      <w:r>
                        <w:rPr>
                          <w:szCs w:val="28"/>
                          <w:rtl/>
                        </w:rPr>
                        <w:t>ד</w:t>
                      </w:r>
                    </w:p>
                  </w:txbxContent>
                </v:textbox>
              </v:rect>
              <v:rect id="Rectangle 38" o:spid="_x0000_s1031"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WXtxAAAANsAAAAPAAAAZHJzL2Rvd25yZXYueG1sRI/NasMw&#10;EITvgb6D2EAvoZZTm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MK1Ze3EAAAA2wAAAA8A&#10;AAAAAAAAAAAAAAAABwIAAGRycy9kb3ducmV2LnhtbFBLBQYAAAAAAwADALcAAAD4AgAAAAA=&#10;" filled="f" stroked="f">
                <v:textbox inset="1pt,1pt,1pt,1pt">
                  <w:txbxContent>
                    <w:p w:rsidR="0025156A" w:rsidRDefault="0025156A" w:rsidP="00165B1B">
                      <w:pPr>
                        <w:rPr>
                          <w:rtl/>
                        </w:rPr>
                      </w:pPr>
                      <w:r>
                        <w:rPr>
                          <w:szCs w:val="28"/>
                          <w:rtl/>
                        </w:rPr>
                        <w:t>ה</w:t>
                      </w:r>
                    </w:p>
                  </w:txbxContent>
                </v:textbox>
              </v:rect>
              <v:rect id="Rectangle 39" o:spid="_x0000_s1032"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" filled="f" stroked="f">
                <v:textbox inset="1pt,1pt,1pt,1pt">
                  <w:txbxContent>
                    <w:p w:rsidR="0025156A" w:rsidRDefault="0025156A" w:rsidP="00165B1B">
                      <w:pPr>
                        <w:rPr>
                          <w:rtl/>
                        </w:rPr>
                      </w:pPr>
                      <w:r>
                        <w:rPr>
                          <w:szCs w:val="28"/>
                          <w:rtl/>
                        </w:rPr>
                        <w:t>ו</w:t>
                      </w:r>
                    </w:p>
                  </w:txbxContent>
                </v:textbox>
              </v:rect>
              <v:rect id="Rectangle 40" o:spid="_x0000_s1033"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14BwgAAANsAAAAPAAAAZHJzL2Rvd25yZXYueG1sRI9Ba8JA&#10;FITvBf/D8oReim4UTC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BdK14BwgAAANsAAAAPAAAA&#10;AAAAAAAAAAAAAAcCAABkcnMvZG93bnJldi54bWxQSwUGAAAAAAMAAwC3AAAA9gIAAAAA&#10;" filled="f" stroked="f">
                <v:textbox inset="1pt,1pt,1pt,1pt">
                  <w:txbxContent>
                    <w:p w:rsidR="0025156A" w:rsidRDefault="0025156A" w:rsidP="00165B1B">
                      <w:pPr>
                        <w:rPr>
                          <w:rtl/>
                        </w:rPr>
                      </w:pPr>
                      <w:r>
                        <w:rPr>
                          <w:szCs w:val="28"/>
                          <w:rtl/>
                        </w:rPr>
                        <w:t>ז</w:t>
                      </w:r>
                    </w:p>
                  </w:txbxContent>
                </v:textbox>
              </v:rect>
              <w10:wrap anchory="margin"/>
            </v:group>
          </w:pict>
        </mc:Fallback>
      </mc:AlternateContent>
    </w:r>
    <w:r w:rsidR="0025156A" w:rsidRPr="00860B7E">
      <w:rPr>
        <w:rFonts w:cs="FrankRuehl"/>
        <w:szCs w:val="22"/>
        <w:rtl/>
      </w:rPr>
      <w:t xml:space="preserve">פ"ד </w:t>
    </w:r>
    <w:r w:rsidR="0025156A" w:rsidRPr="00860B7E">
      <w:rPr>
        <w:rFonts w:cs="FrankRuehl" w:hint="cs"/>
        <w:szCs w:val="22"/>
        <w:rtl/>
      </w:rPr>
      <w:t>ס</w:t>
    </w:r>
    <w:r w:rsidR="0025156A" w:rsidRPr="00860B7E">
      <w:rPr>
        <w:rFonts w:cs="FrankRuehl"/>
        <w:szCs w:val="22"/>
        <w:rtl/>
      </w:rPr>
      <w:t>(</w:t>
    </w:r>
    <w:r w:rsidR="0025156A" w:rsidRPr="00860B7E">
      <w:rPr>
        <w:rFonts w:cs="FrankRuehl" w:hint="cs"/>
        <w:szCs w:val="22"/>
        <w:rtl/>
      </w:rPr>
      <w:t>2</w:t>
    </w:r>
    <w:r w:rsidR="0025156A" w:rsidRPr="00860B7E">
      <w:rPr>
        <w:rFonts w:cs="FrankRuehl"/>
        <w:szCs w:val="22"/>
        <w:rtl/>
      </w:rPr>
      <w:t xml:space="preserve">) </w:t>
    </w:r>
    <w:r w:rsidR="0025156A" w:rsidRPr="00860B7E">
      <w:rPr>
        <w:rFonts w:cs="FrankRuehl" w:hint="cs"/>
        <w:sz w:val="22"/>
        <w:szCs w:val="22"/>
        <w:rtl/>
      </w:rPr>
      <w:t>120</w:t>
    </w:r>
    <w:r w:rsidR="0025156A" w:rsidRPr="00860B7E">
      <w:rPr>
        <w:rFonts w:cs="FrankRuehl"/>
        <w:rtl/>
      </w:rPr>
      <w:tab/>
    </w:r>
    <w:r w:rsidR="0025156A" w:rsidRPr="00860B7E">
      <w:rPr>
        <w:rFonts w:cs="FrankRuehl" w:hint="cs"/>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Default="00A1395F" w:rsidP="009F3939">
    <w:pPr>
      <w:pStyle w:val="2"/>
      <w:jc w:val="left"/>
      <w:rPr>
        <w:rFonts w:hint="cs"/>
        <w:rtl/>
      </w:rPr>
    </w:pPr>
    <w:r>
      <w:rPr>
        <w:rFonts w:cs="FrankRuehl"/>
        <w:noProof/>
        <w:szCs w:val="22"/>
        <w:rtl/>
        <w:lang w:eastAsia="en-US"/>
      </w:rPr>
      <mc:AlternateContent>
        <mc:Choice Requires="wpg">
          <w:drawing>
            <wp:anchor distT="0" distB="0" distL="114300" distR="114300" simplePos="0" relativeHeight="251654656" behindDoc="0" locked="0" layoutInCell="0" allowOverlap="1">
              <wp:simplePos x="0" y="0"/>
              <wp:positionH relativeFrom="column">
                <wp:posOffset>4428490</wp:posOffset>
              </wp:positionH>
              <wp:positionV relativeFrom="margin">
                <wp:posOffset>323850</wp:posOffset>
              </wp:positionV>
              <wp:extent cx="171450" cy="5234940"/>
              <wp:effectExtent l="0" t="0" r="635" b="3810"/>
              <wp:wrapNone/>
              <wp:docPr id="4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42" name="Rectangle 26"/>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א</w:t>
                            </w:r>
                          </w:p>
                        </w:txbxContent>
                      </wps:txbx>
                      <wps:bodyPr rot="0" vert="horz" wrap="square" lIns="12700" tIns="12700" rIns="12700" bIns="12700" anchor="t" anchorCtr="0" upright="1">
                        <a:noAutofit/>
                      </wps:bodyPr>
                    </wps:wsp>
                    <wps:wsp>
                      <wps:cNvPr id="43" name="Rectangle 27"/>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ב</w:t>
                            </w:r>
                          </w:p>
                        </w:txbxContent>
                      </wps:txbx>
                      <wps:bodyPr rot="0" vert="horz" wrap="square" lIns="12700" tIns="12700" rIns="12700" bIns="12700" anchor="t" anchorCtr="0" upright="1">
                        <a:noAutofit/>
                      </wps:bodyPr>
                    </wps:wsp>
                    <wps:wsp>
                      <wps:cNvPr id="44" name="Rectangle 28"/>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ג</w:t>
                            </w:r>
                          </w:p>
                        </w:txbxContent>
                      </wps:txbx>
                      <wps:bodyPr rot="0" vert="horz" wrap="square" lIns="12700" tIns="12700" rIns="12700" bIns="12700" anchor="t" anchorCtr="0" upright="1">
                        <a:noAutofit/>
                      </wps:bodyPr>
                    </wps:wsp>
                    <wps:wsp>
                      <wps:cNvPr id="45" name="Rectangle 29"/>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ד</w:t>
                            </w:r>
                          </w:p>
                        </w:txbxContent>
                      </wps:txbx>
                      <wps:bodyPr rot="0" vert="horz" wrap="square" lIns="12700" tIns="12700" rIns="12700" bIns="12700" anchor="t" anchorCtr="0" upright="1">
                        <a:noAutofit/>
                      </wps:bodyPr>
                    </wps:wsp>
                    <wps:wsp>
                      <wps:cNvPr id="46" name="Rectangle 30"/>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ה</w:t>
                            </w:r>
                          </w:p>
                        </w:txbxContent>
                      </wps:txbx>
                      <wps:bodyPr rot="0" vert="horz" wrap="square" lIns="12700" tIns="12700" rIns="12700" bIns="12700" anchor="t" anchorCtr="0" upright="1">
                        <a:noAutofit/>
                      </wps:bodyPr>
                    </wps:wsp>
                    <wps:wsp>
                      <wps:cNvPr id="47" name="Rectangle 31"/>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ו</w:t>
                            </w:r>
                          </w:p>
                        </w:txbxContent>
                      </wps:txbx>
                      <wps:bodyPr rot="0" vert="horz" wrap="square" lIns="12700" tIns="12700" rIns="12700" bIns="12700" anchor="t" anchorCtr="0" upright="1">
                        <a:noAutofit/>
                      </wps:bodyPr>
                    </wps:wsp>
                    <wps:wsp>
                      <wps:cNvPr id="48" name="Rectangle 32"/>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34" style="position:absolute;left:0;text-align:left;margin-left:348.7pt;margin-top:25.5pt;width:13.5pt;height:412.2pt;z-index:251654656;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" o:allowincell="f">
              <v:rect id="Rectangle 26" o:spid="_x0000_s1035"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" filled="f" stroked="f" strokeweight=".25pt">
                <v:textbox inset="1pt,1pt,1pt,1pt">
                  <w:txbxContent>
                    <w:p w:rsidR="0025156A" w:rsidRDefault="0025156A" w:rsidP="00964728">
                      <w:pPr>
                        <w:rPr>
                          <w:rtl/>
                        </w:rPr>
                      </w:pPr>
                      <w:r>
                        <w:rPr>
                          <w:szCs w:val="28"/>
                          <w:rtl/>
                        </w:rPr>
                        <w:t>א</w:t>
                      </w:r>
                    </w:p>
                  </w:txbxContent>
                </v:textbox>
              </v:rect>
              <v:rect id="Rectangle 27" o:spid="_x0000_s1036"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" filled="f" stroked="f">
                <v:textbox inset="1pt,1pt,1pt,1pt">
                  <w:txbxContent>
                    <w:p w:rsidR="0025156A" w:rsidRDefault="0025156A" w:rsidP="00964728">
                      <w:pPr>
                        <w:rPr>
                          <w:rtl/>
                        </w:rPr>
                      </w:pPr>
                      <w:r>
                        <w:rPr>
                          <w:szCs w:val="28"/>
                          <w:rtl/>
                        </w:rPr>
                        <w:t>ב</w:t>
                      </w:r>
                    </w:p>
                  </w:txbxContent>
                </v:textbox>
              </v:rect>
              <v:rect id="Rectangle 28" o:spid="_x0000_s1037"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" filled="f" stroked="f">
                <v:textbox inset="1pt,1pt,1pt,1pt">
                  <w:txbxContent>
                    <w:p w:rsidR="0025156A" w:rsidRDefault="0025156A" w:rsidP="00964728">
                      <w:pPr>
                        <w:rPr>
                          <w:rtl/>
                        </w:rPr>
                      </w:pPr>
                      <w:r>
                        <w:rPr>
                          <w:szCs w:val="28"/>
                          <w:rtl/>
                        </w:rPr>
                        <w:t>ג</w:t>
                      </w:r>
                    </w:p>
                  </w:txbxContent>
                </v:textbox>
              </v:rect>
              <v:rect id="Rectangle 29" o:spid="_x0000_s1038"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" filled="f" stroked="f">
                <v:textbox inset="1pt,1pt,1pt,1pt">
                  <w:txbxContent>
                    <w:p w:rsidR="0025156A" w:rsidRDefault="0025156A" w:rsidP="00964728">
                      <w:pPr>
                        <w:rPr>
                          <w:rtl/>
                        </w:rPr>
                      </w:pPr>
                      <w:r>
                        <w:rPr>
                          <w:szCs w:val="28"/>
                          <w:rtl/>
                        </w:rPr>
                        <w:t>ד</w:t>
                      </w:r>
                    </w:p>
                  </w:txbxContent>
                </v:textbox>
              </v:rect>
              <v:rect id="Rectangle 30" o:spid="_x0000_s1039"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sjcwgAAANsAAAAPAAAAZHJzL2Rvd25yZXYueG1sRI9Ba8JA&#10;FITvBf/D8oReim4USS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DY8sjcwgAAANsAAAAPAAAA&#10;AAAAAAAAAAAAAAcCAABkcnMvZG93bnJldi54bWxQSwUGAAAAAAMAAwC3AAAA9gIAAAAA&#10;" filled="f" stroked="f">
                <v:textbox inset="1pt,1pt,1pt,1pt">
                  <w:txbxContent>
                    <w:p w:rsidR="0025156A" w:rsidRDefault="0025156A" w:rsidP="00964728">
                      <w:pPr>
                        <w:rPr>
                          <w:rtl/>
                        </w:rPr>
                      </w:pPr>
                      <w:r>
                        <w:rPr>
                          <w:szCs w:val="28"/>
                          <w:rtl/>
                        </w:rPr>
                        <w:t>ה</w:t>
                      </w:r>
                    </w:p>
                  </w:txbxContent>
                </v:textbox>
              </v:rect>
              <v:rect id="Rectangle 31" o:spid="_x0000_s1040"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" filled="f" stroked="f">
                <v:textbox inset="1pt,1pt,1pt,1pt">
                  <w:txbxContent>
                    <w:p w:rsidR="0025156A" w:rsidRDefault="0025156A" w:rsidP="00964728">
                      <w:pPr>
                        <w:rPr>
                          <w:rtl/>
                        </w:rPr>
                      </w:pPr>
                      <w:r>
                        <w:rPr>
                          <w:szCs w:val="28"/>
                          <w:rtl/>
                        </w:rPr>
                        <w:t>ו</w:t>
                      </w:r>
                    </w:p>
                  </w:txbxContent>
                </v:textbox>
              </v:rect>
              <v:rect id="Rectangle 32" o:spid="_x0000_s1041"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" filled="f" stroked="f">
                <v:textbox inset="1pt,1pt,1pt,1pt">
                  <w:txbxContent>
                    <w:p w:rsidR="0025156A" w:rsidRDefault="0025156A" w:rsidP="00964728">
                      <w:pPr>
                        <w:rPr>
                          <w:rtl/>
                        </w:rPr>
                      </w:pPr>
                      <w:r>
                        <w:rPr>
                          <w:szCs w:val="28"/>
                          <w:rtl/>
                        </w:rPr>
                        <w:t>ז</w:t>
                      </w:r>
                    </w:p>
                  </w:txbxContent>
                </v:textbox>
              </v:rect>
              <w10:wrap anchory="margin"/>
            </v:group>
          </w:pict>
        </mc:Fallback>
      </mc:AlternateContent>
    </w:r>
    <w:r w:rsidR="0025156A">
      <w:rPr>
        <w:rFonts w:cs="FrankRuehl"/>
        <w:szCs w:val="22"/>
        <w:rtl/>
      </w:rPr>
      <w:t xml:space="preserve">פ"ד </w:t>
    </w:r>
    <w:r w:rsidR="0025156A">
      <w:rPr>
        <w:rFonts w:cs="FrankRuehl" w:hint="cs"/>
        <w:szCs w:val="22"/>
        <w:rtl/>
      </w:rPr>
      <w:t>ס</w:t>
    </w:r>
    <w:r w:rsidR="0025156A">
      <w:rPr>
        <w:rFonts w:cs="FrankRuehl"/>
        <w:szCs w:val="22"/>
        <w:rtl/>
      </w:rPr>
      <w:t>(</w:t>
    </w:r>
    <w:r w:rsidR="0025156A">
      <w:rPr>
        <w:rFonts w:cs="FrankRuehl" w:hint="cs"/>
        <w:szCs w:val="22"/>
        <w:rtl/>
      </w:rPr>
      <w:t>2</w:t>
    </w:r>
    <w:r w:rsidR="0025156A">
      <w:rPr>
        <w:rFonts w:cs="FrankRuehl"/>
        <w:szCs w:val="22"/>
        <w:rtl/>
      </w:rPr>
      <w:t xml:space="preserve">) </w:t>
    </w:r>
    <w:r w:rsidR="0025156A">
      <w:rPr>
        <w:rFonts w:cs="FrankRuehl" w:hint="cs"/>
        <w:sz w:val="22"/>
        <w:szCs w:val="22"/>
        <w:rtl/>
      </w:rPr>
      <w:t>120</w:t>
    </w:r>
    <w:r w:rsidR="0025156A">
      <w:rPr>
        <w:rtl/>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A1395F">
    <w:pPr>
      <w:pStyle w:val="Header"/>
    </w:pPr>
    <w:r>
      <w:rPr>
        <w:noProof/>
        <w:lang w:eastAsia="en-US"/>
      </w:rPr>
      <mc:AlternateContent>
        <mc:Choice Requires="wpg">
          <w:drawing>
            <wp:anchor distT="0" distB="0" distL="114300" distR="114300" simplePos="0" relativeHeight="251656704" behindDoc="0" locked="0" layoutInCell="1" allowOverlap="1">
              <wp:simplePos x="0" y="0"/>
              <wp:positionH relativeFrom="column">
                <wp:posOffset>-467995</wp:posOffset>
              </wp:positionH>
              <wp:positionV relativeFrom="margin">
                <wp:posOffset>323850</wp:posOffset>
              </wp:positionV>
              <wp:extent cx="171450" cy="5234940"/>
              <wp:effectExtent l="0" t="0" r="1270" b="3810"/>
              <wp:wrapNone/>
              <wp:docPr id="33"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34" name="Rectangle 42"/>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א</w:t>
                            </w:r>
                          </w:p>
                        </w:txbxContent>
                      </wps:txbx>
                      <wps:bodyPr rot="0" vert="horz" wrap="square" lIns="12700" tIns="12700" rIns="12700" bIns="12700" anchor="t" anchorCtr="0" upright="1">
                        <a:noAutofit/>
                      </wps:bodyPr>
                    </wps:wsp>
                    <wps:wsp>
                      <wps:cNvPr id="35" name="Rectangle 43"/>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ב</w:t>
                            </w:r>
                          </w:p>
                        </w:txbxContent>
                      </wps:txbx>
                      <wps:bodyPr rot="0" vert="horz" wrap="square" lIns="12700" tIns="12700" rIns="12700" bIns="12700" anchor="t" anchorCtr="0" upright="1">
                        <a:noAutofit/>
                      </wps:bodyPr>
                    </wps:wsp>
                    <wps:wsp>
                      <wps:cNvPr id="36" name="Rectangle 44"/>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ג</w:t>
                            </w:r>
                          </w:p>
                        </w:txbxContent>
                      </wps:txbx>
                      <wps:bodyPr rot="0" vert="horz" wrap="square" lIns="12700" tIns="12700" rIns="12700" bIns="12700" anchor="t" anchorCtr="0" upright="1">
                        <a:noAutofit/>
                      </wps:bodyPr>
                    </wps:wsp>
                    <wps:wsp>
                      <wps:cNvPr id="37" name="Rectangle 45"/>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ד</w:t>
                            </w:r>
                          </w:p>
                        </w:txbxContent>
                      </wps:txbx>
                      <wps:bodyPr rot="0" vert="horz" wrap="square" lIns="12700" tIns="12700" rIns="12700" bIns="12700" anchor="t" anchorCtr="0" upright="1">
                        <a:noAutofit/>
                      </wps:bodyPr>
                    </wps:wsp>
                    <wps:wsp>
                      <wps:cNvPr id="38" name="Rectangle 46"/>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ה</w:t>
                            </w:r>
                          </w:p>
                        </w:txbxContent>
                      </wps:txbx>
                      <wps:bodyPr rot="0" vert="horz" wrap="square" lIns="12700" tIns="12700" rIns="12700" bIns="12700" anchor="t" anchorCtr="0" upright="1">
                        <a:noAutofit/>
                      </wps:bodyPr>
                    </wps:wsp>
                    <wps:wsp>
                      <wps:cNvPr id="39" name="Rectangle 47"/>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ו</w:t>
                            </w:r>
                          </w:p>
                        </w:txbxContent>
                      </wps:txbx>
                      <wps:bodyPr rot="0" vert="horz" wrap="square" lIns="12700" tIns="12700" rIns="12700" bIns="12700" anchor="t" anchorCtr="0" upright="1">
                        <a:noAutofit/>
                      </wps:bodyPr>
                    </wps:wsp>
                    <wps:wsp>
                      <wps:cNvPr id="40" name="Rectangle 48"/>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F3939">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 o:spid="_x0000_s1042" style="position:absolute;left:0;text-align:left;margin-left:-36.85pt;margin-top:25.5pt;width:13.5pt;height:412.2pt;z-index:251656704;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">
              <v:rect id="Rectangle 42" o:spid="_x0000_s1043"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w:p w:rsidR="0025156A" w:rsidRDefault="0025156A" w:rsidP="009F3939">
                      <w:pPr>
                        <w:rPr>
                          <w:rtl/>
                        </w:rPr>
                      </w:pPr>
                      <w:r>
                        <w:rPr>
                          <w:szCs w:val="28"/>
                          <w:rtl/>
                        </w:rPr>
                        <w:t>א</w:t>
                      </w:r>
                    </w:p>
                  </w:txbxContent>
                </v:textbox>
              </v:rect>
              <v:rect id="Rectangle 43" o:spid="_x0000_s1044"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" filled="f" stroked="f">
                <v:textbox inset="1pt,1pt,1pt,1pt">
                  <w:txbxContent>
                    <w:p w:rsidR="0025156A" w:rsidRDefault="0025156A" w:rsidP="009F3939">
                      <w:pPr>
                        <w:rPr>
                          <w:rtl/>
                        </w:rPr>
                      </w:pPr>
                      <w:r>
                        <w:rPr>
                          <w:szCs w:val="28"/>
                          <w:rtl/>
                        </w:rPr>
                        <w:t>ב</w:t>
                      </w:r>
                    </w:p>
                  </w:txbxContent>
                </v:textbox>
              </v:rect>
              <v:rect id="Rectangle 44" o:spid="_x0000_s1045"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" filled="f" stroked="f">
                <v:textbox inset="1pt,1pt,1pt,1pt">
                  <w:txbxContent>
                    <w:p w:rsidR="0025156A" w:rsidRDefault="0025156A" w:rsidP="009F3939">
                      <w:pPr>
                        <w:rPr>
                          <w:rtl/>
                        </w:rPr>
                      </w:pPr>
                      <w:r>
                        <w:rPr>
                          <w:szCs w:val="28"/>
                          <w:rtl/>
                        </w:rPr>
                        <w:t>ג</w:t>
                      </w:r>
                    </w:p>
                  </w:txbxContent>
                </v:textbox>
              </v:rect>
              <v:rect id="Rectangle 45" o:spid="_x0000_s1046"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" filled="f" stroked="f">
                <v:textbox inset="1pt,1pt,1pt,1pt">
                  <w:txbxContent>
                    <w:p w:rsidR="0025156A" w:rsidRDefault="0025156A" w:rsidP="009F3939">
                      <w:pPr>
                        <w:rPr>
                          <w:rtl/>
                        </w:rPr>
                      </w:pPr>
                      <w:r>
                        <w:rPr>
                          <w:szCs w:val="28"/>
                          <w:rtl/>
                        </w:rPr>
                        <w:t>ד</w:t>
                      </w:r>
                    </w:p>
                  </w:txbxContent>
                </v:textbox>
              </v:rect>
              <v:rect id="Rectangle 46" o:spid="_x0000_s1047"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" filled="f" stroked="f">
                <v:textbox inset="1pt,1pt,1pt,1pt">
                  <w:txbxContent>
                    <w:p w:rsidR="0025156A" w:rsidRDefault="0025156A" w:rsidP="009F3939">
                      <w:pPr>
                        <w:rPr>
                          <w:rtl/>
                        </w:rPr>
                      </w:pPr>
                      <w:r>
                        <w:rPr>
                          <w:szCs w:val="28"/>
                          <w:rtl/>
                        </w:rPr>
                        <w:t>ה</w:t>
                      </w:r>
                    </w:p>
                  </w:txbxContent>
                </v:textbox>
              </v:rect>
              <v:rect id="Rectangle 47" o:spid="_x0000_s1048"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" filled="f" stroked="f">
                <v:textbox inset="1pt,1pt,1pt,1pt">
                  <w:txbxContent>
                    <w:p w:rsidR="0025156A" w:rsidRDefault="0025156A" w:rsidP="009F3939">
                      <w:pPr>
                        <w:rPr>
                          <w:rtl/>
                        </w:rPr>
                      </w:pPr>
                      <w:r>
                        <w:rPr>
                          <w:szCs w:val="28"/>
                          <w:rtl/>
                        </w:rPr>
                        <w:t>ו</w:t>
                      </w:r>
                    </w:p>
                  </w:txbxContent>
                </v:textbox>
              </v:rect>
              <v:rect id="Rectangle 48" o:spid="_x0000_s1049"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UzwAAAANsAAAAPAAAAZHJzL2Rvd25yZXYueG1sRE9Na8JA&#10;EL0X/A/LCF5K3USK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OFf1M8AAAADbAAAADwAAAAAA&#10;AAAAAAAAAAAHAgAAZHJzL2Rvd25yZXYueG1sUEsFBgAAAAADAAMAtwAAAPQCAAAAAA==&#10;" filled="f" stroked="f">
                <v:textbox inset="1pt,1pt,1pt,1pt">
                  <w:txbxContent>
                    <w:p w:rsidR="0025156A" w:rsidRDefault="0025156A" w:rsidP="009F3939">
                      <w:pPr>
                        <w:rPr>
                          <w:rtl/>
                        </w:rPr>
                      </w:pPr>
                      <w:r>
                        <w:rPr>
                          <w:szCs w:val="28"/>
                          <w:rtl/>
                        </w:rPr>
                        <w:t>ז</w:t>
                      </w:r>
                    </w:p>
                  </w:txbxContent>
                </v:textbox>
              </v:rect>
              <w10:wrap anchory="margin"/>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Default="00A1395F" w:rsidP="00165B1B">
    <w:pPr>
      <w:pStyle w:val="2"/>
      <w:jc w:val="left"/>
      <w:rPr>
        <w:rFonts w:hint="cs"/>
        <w:rtl/>
      </w:rPr>
    </w:pPr>
    <w:r>
      <w:rPr>
        <w:rFonts w:cs="FrankRuehl"/>
        <w:noProof/>
        <w:szCs w:val="22"/>
        <w:rtl/>
        <w:lang w:eastAsia="en-US"/>
      </w:rPr>
      <mc:AlternateContent>
        <mc:Choice Requires="wpg">
          <w:drawing>
            <wp:anchor distT="0" distB="0" distL="114300" distR="114300" simplePos="0" relativeHeight="251658752" behindDoc="0" locked="0" layoutInCell="0" allowOverlap="1">
              <wp:simplePos x="0" y="0"/>
              <wp:positionH relativeFrom="column">
                <wp:posOffset>-467995</wp:posOffset>
              </wp:positionH>
              <wp:positionV relativeFrom="margin">
                <wp:posOffset>323850</wp:posOffset>
              </wp:positionV>
              <wp:extent cx="171450" cy="5234940"/>
              <wp:effectExtent l="0" t="0" r="1270" b="3810"/>
              <wp:wrapNone/>
              <wp:docPr id="2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26" name="Rectangle 66"/>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א</w:t>
                            </w:r>
                          </w:p>
                        </w:txbxContent>
                      </wps:txbx>
                      <wps:bodyPr rot="0" vert="horz" wrap="square" lIns="12700" tIns="12700" rIns="12700" bIns="12700" anchor="t" anchorCtr="0" upright="1">
                        <a:noAutofit/>
                      </wps:bodyPr>
                    </wps:wsp>
                    <wps:wsp>
                      <wps:cNvPr id="27" name="Rectangle 67"/>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ב</w:t>
                            </w:r>
                          </w:p>
                        </w:txbxContent>
                      </wps:txbx>
                      <wps:bodyPr rot="0" vert="horz" wrap="square" lIns="12700" tIns="12700" rIns="12700" bIns="12700" anchor="t" anchorCtr="0" upright="1">
                        <a:noAutofit/>
                      </wps:bodyPr>
                    </wps:wsp>
                    <wps:wsp>
                      <wps:cNvPr id="28" name="Rectangle 68"/>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ג</w:t>
                            </w:r>
                          </w:p>
                        </w:txbxContent>
                      </wps:txbx>
                      <wps:bodyPr rot="0" vert="horz" wrap="square" lIns="12700" tIns="12700" rIns="12700" bIns="12700" anchor="t" anchorCtr="0" upright="1">
                        <a:noAutofit/>
                      </wps:bodyPr>
                    </wps:wsp>
                    <wps:wsp>
                      <wps:cNvPr id="29" name="Rectangle 69"/>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ד</w:t>
                            </w:r>
                          </w:p>
                        </w:txbxContent>
                      </wps:txbx>
                      <wps:bodyPr rot="0" vert="horz" wrap="square" lIns="12700" tIns="12700" rIns="12700" bIns="12700" anchor="t" anchorCtr="0" upright="1">
                        <a:noAutofit/>
                      </wps:bodyPr>
                    </wps:wsp>
                    <wps:wsp>
                      <wps:cNvPr id="30" name="Rectangle 70"/>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ה</w:t>
                            </w:r>
                          </w:p>
                        </w:txbxContent>
                      </wps:txbx>
                      <wps:bodyPr rot="0" vert="horz" wrap="square" lIns="12700" tIns="12700" rIns="12700" bIns="12700" anchor="t" anchorCtr="0" upright="1">
                        <a:noAutofit/>
                      </wps:bodyPr>
                    </wps:wsp>
                    <wps:wsp>
                      <wps:cNvPr id="31" name="Rectangle 71"/>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ו</w:t>
                            </w:r>
                          </w:p>
                        </w:txbxContent>
                      </wps:txbx>
                      <wps:bodyPr rot="0" vert="horz" wrap="square" lIns="12700" tIns="12700" rIns="12700" bIns="12700" anchor="t" anchorCtr="0" upright="1">
                        <a:noAutofit/>
                      </wps:bodyPr>
                    </wps:wsp>
                    <wps:wsp>
                      <wps:cNvPr id="32" name="Rectangle 72"/>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 o:spid="_x0000_s1050" style="position:absolute;left:0;text-align:left;margin-left:-36.85pt;margin-top:25.5pt;width:13.5pt;height:412.2pt;z-index:251658752;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" o:allowincell="f">
              <v:rect id="Rectangle 66" o:spid="_x0000_s1051"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rsidR="0025156A" w:rsidRDefault="0025156A" w:rsidP="00165B1B">
                      <w:pPr>
                        <w:rPr>
                          <w:rtl/>
                        </w:rPr>
                      </w:pPr>
                      <w:r>
                        <w:rPr>
                          <w:szCs w:val="28"/>
                          <w:rtl/>
                        </w:rPr>
                        <w:t>א</w:t>
                      </w:r>
                    </w:p>
                  </w:txbxContent>
                </v:textbox>
              </v:rect>
              <v:rect id="Rectangle 67" o:spid="_x0000_s1052"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" filled="f" stroked="f">
                <v:textbox inset="1pt,1pt,1pt,1pt">
                  <w:txbxContent>
                    <w:p w:rsidR="0025156A" w:rsidRDefault="0025156A" w:rsidP="00165B1B">
                      <w:pPr>
                        <w:rPr>
                          <w:rtl/>
                        </w:rPr>
                      </w:pPr>
                      <w:r>
                        <w:rPr>
                          <w:szCs w:val="28"/>
                          <w:rtl/>
                        </w:rPr>
                        <w:t>ב</w:t>
                      </w:r>
                    </w:p>
                  </w:txbxContent>
                </v:textbox>
              </v:rect>
              <v:rect id="Rectangle 68" o:spid="_x0000_s1053"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" filled="f" stroked="f">
                <v:textbox inset="1pt,1pt,1pt,1pt">
                  <w:txbxContent>
                    <w:p w:rsidR="0025156A" w:rsidRDefault="0025156A" w:rsidP="00165B1B">
                      <w:pPr>
                        <w:rPr>
                          <w:rtl/>
                        </w:rPr>
                      </w:pPr>
                      <w:r>
                        <w:rPr>
                          <w:szCs w:val="28"/>
                          <w:rtl/>
                        </w:rPr>
                        <w:t>ג</w:t>
                      </w:r>
                    </w:p>
                  </w:txbxContent>
                </v:textbox>
              </v:rect>
              <v:rect id="Rectangle 69" o:spid="_x0000_s1054"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" filled="f" stroked="f">
                <v:textbox inset="1pt,1pt,1pt,1pt">
                  <w:txbxContent>
                    <w:p w:rsidR="0025156A" w:rsidRDefault="0025156A" w:rsidP="00165B1B">
                      <w:pPr>
                        <w:rPr>
                          <w:rtl/>
                        </w:rPr>
                      </w:pPr>
                      <w:r>
                        <w:rPr>
                          <w:szCs w:val="28"/>
                          <w:rtl/>
                        </w:rPr>
                        <w:t>ד</w:t>
                      </w:r>
                    </w:p>
                  </w:txbxContent>
                </v:textbox>
              </v:rect>
              <v:rect id="Rectangle 70" o:spid="_x0000_s1055"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" filled="f" stroked="f">
                <v:textbox inset="1pt,1pt,1pt,1pt">
                  <w:txbxContent>
                    <w:p w:rsidR="0025156A" w:rsidRDefault="0025156A" w:rsidP="00165B1B">
                      <w:pPr>
                        <w:rPr>
                          <w:rtl/>
                        </w:rPr>
                      </w:pPr>
                      <w:r>
                        <w:rPr>
                          <w:szCs w:val="28"/>
                          <w:rtl/>
                        </w:rPr>
                        <w:t>ה</w:t>
                      </w:r>
                    </w:p>
                  </w:txbxContent>
                </v:textbox>
              </v:rect>
              <v:rect id="Rectangle 71" o:spid="_x0000_s1056"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" filled="f" stroked="f">
                <v:textbox inset="1pt,1pt,1pt,1pt">
                  <w:txbxContent>
                    <w:p w:rsidR="0025156A" w:rsidRDefault="0025156A" w:rsidP="00165B1B">
                      <w:pPr>
                        <w:rPr>
                          <w:rtl/>
                        </w:rPr>
                      </w:pPr>
                      <w:r>
                        <w:rPr>
                          <w:szCs w:val="28"/>
                          <w:rtl/>
                        </w:rPr>
                        <w:t>ו</w:t>
                      </w:r>
                    </w:p>
                  </w:txbxContent>
                </v:textbox>
              </v:rect>
              <v:rect id="Rectangle 72" o:spid="_x0000_s1057"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" filled="f" stroked="f">
                <v:textbox inset="1pt,1pt,1pt,1pt">
                  <w:txbxContent>
                    <w:p w:rsidR="0025156A" w:rsidRDefault="0025156A" w:rsidP="00165B1B">
                      <w:pPr>
                        <w:rPr>
                          <w:rtl/>
                        </w:rPr>
                      </w:pPr>
                      <w:r>
                        <w:rPr>
                          <w:szCs w:val="28"/>
                          <w:rtl/>
                        </w:rPr>
                        <w:t>ז</w:t>
                      </w:r>
                    </w:p>
                  </w:txbxContent>
                </v:textbox>
              </v:rect>
              <w10:wrap anchory="margin"/>
            </v:group>
          </w:pict>
        </mc:Fallback>
      </mc:AlternateContent>
    </w:r>
    <w:r w:rsidR="0025156A">
      <w:rPr>
        <w:rFonts w:cs="FrankRuehl"/>
        <w:szCs w:val="22"/>
        <w:rtl/>
      </w:rPr>
      <w:t xml:space="preserve">פ"ד </w:t>
    </w:r>
    <w:r w:rsidR="0025156A">
      <w:rPr>
        <w:rFonts w:cs="FrankRuehl" w:hint="cs"/>
        <w:szCs w:val="22"/>
        <w:rtl/>
      </w:rPr>
      <w:t>ס</w:t>
    </w:r>
    <w:r w:rsidR="0025156A">
      <w:rPr>
        <w:rFonts w:cs="FrankRuehl"/>
        <w:szCs w:val="22"/>
        <w:rtl/>
      </w:rPr>
      <w:t>(</w:t>
    </w:r>
    <w:r w:rsidR="0025156A">
      <w:rPr>
        <w:rFonts w:cs="FrankRuehl" w:hint="cs"/>
        <w:szCs w:val="22"/>
        <w:rtl/>
      </w:rPr>
      <w:t>2</w:t>
    </w:r>
    <w:r w:rsidR="0025156A">
      <w:rPr>
        <w:rFonts w:cs="FrankRuehl"/>
        <w:szCs w:val="22"/>
        <w:rtl/>
      </w:rPr>
      <w:t xml:space="preserve">) </w:t>
    </w:r>
    <w:r w:rsidR="0025156A">
      <w:rPr>
        <w:rFonts w:cs="FrankRuehl" w:hint="cs"/>
        <w:sz w:val="22"/>
        <w:szCs w:val="22"/>
        <w:rtl/>
      </w:rPr>
      <w:t>120</w:t>
    </w:r>
    <w:r w:rsidR="0025156A">
      <w:rPr>
        <w:rtl/>
      </w:rPr>
      <w:tab/>
    </w:r>
    <w:r w:rsidR="0025156A">
      <w:rPr>
        <w:rFonts w:hint="cs"/>
        <w:rtl/>
      </w:rPr>
      <w:t>השופט א' א' לוי</w:t>
    </w:r>
  </w:p>
  <w:p w:rsidR="0025156A" w:rsidRDefault="0025156A" w:rsidP="00165B1B">
    <w:pPr>
      <w:pStyle w:val="2"/>
      <w:jc w:val="left"/>
      <w:rPr>
        <w:rFonts w:hint="cs"/>
        <w:rtl/>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Default="00A1395F" w:rsidP="00165B1B">
    <w:pPr>
      <w:pStyle w:val="2"/>
      <w:jc w:val="left"/>
      <w:rPr>
        <w:rFonts w:hint="cs"/>
        <w:rtl/>
      </w:rPr>
    </w:pPr>
    <w:r>
      <w:rPr>
        <w:rFonts w:cs="FrankRuehl"/>
        <w:noProof/>
        <w:szCs w:val="22"/>
        <w:rtl/>
        <w:lang w:eastAsia="en-US"/>
      </w:rPr>
      <mc:AlternateContent>
        <mc:Choice Requires="wpg">
          <w:drawing>
            <wp:anchor distT="0" distB="0" distL="114300" distR="114300" simplePos="0" relativeHeight="251657728" behindDoc="0" locked="0" layoutInCell="0" allowOverlap="1">
              <wp:simplePos x="0" y="0"/>
              <wp:positionH relativeFrom="column">
                <wp:posOffset>4428490</wp:posOffset>
              </wp:positionH>
              <wp:positionV relativeFrom="margin">
                <wp:posOffset>323850</wp:posOffset>
              </wp:positionV>
              <wp:extent cx="171450" cy="5234940"/>
              <wp:effectExtent l="0" t="0" r="635" b="3810"/>
              <wp:wrapNone/>
              <wp:docPr id="17"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18" name="Rectangle 50"/>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א</w:t>
                            </w:r>
                          </w:p>
                        </w:txbxContent>
                      </wps:txbx>
                      <wps:bodyPr rot="0" vert="horz" wrap="square" lIns="12700" tIns="12700" rIns="12700" bIns="12700" anchor="t" anchorCtr="0" upright="1">
                        <a:noAutofit/>
                      </wps:bodyPr>
                    </wps:wsp>
                    <wps:wsp>
                      <wps:cNvPr id="19" name="Rectangle 51"/>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ב</w:t>
                            </w:r>
                          </w:p>
                        </w:txbxContent>
                      </wps:txbx>
                      <wps:bodyPr rot="0" vert="horz" wrap="square" lIns="12700" tIns="12700" rIns="12700" bIns="12700" anchor="t" anchorCtr="0" upright="1">
                        <a:noAutofit/>
                      </wps:bodyPr>
                    </wps:wsp>
                    <wps:wsp>
                      <wps:cNvPr id="20" name="Rectangle 52"/>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ג</w:t>
                            </w:r>
                          </w:p>
                        </w:txbxContent>
                      </wps:txbx>
                      <wps:bodyPr rot="0" vert="horz" wrap="square" lIns="12700" tIns="12700" rIns="12700" bIns="12700" anchor="t" anchorCtr="0" upright="1">
                        <a:noAutofit/>
                      </wps:bodyPr>
                    </wps:wsp>
                    <wps:wsp>
                      <wps:cNvPr id="21" name="Rectangle 53"/>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ד</w:t>
                            </w:r>
                          </w:p>
                        </w:txbxContent>
                      </wps:txbx>
                      <wps:bodyPr rot="0" vert="horz" wrap="square" lIns="12700" tIns="12700" rIns="12700" bIns="12700" anchor="t" anchorCtr="0" upright="1">
                        <a:noAutofit/>
                      </wps:bodyPr>
                    </wps:wsp>
                    <wps:wsp>
                      <wps:cNvPr id="22" name="Rectangle 54"/>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ה</w:t>
                            </w:r>
                          </w:p>
                        </w:txbxContent>
                      </wps:txbx>
                      <wps:bodyPr rot="0" vert="horz" wrap="square" lIns="12700" tIns="12700" rIns="12700" bIns="12700" anchor="t" anchorCtr="0" upright="1">
                        <a:noAutofit/>
                      </wps:bodyPr>
                    </wps:wsp>
                    <wps:wsp>
                      <wps:cNvPr id="23" name="Rectangle 55"/>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ו</w:t>
                            </w:r>
                          </w:p>
                        </w:txbxContent>
                      </wps:txbx>
                      <wps:bodyPr rot="0" vert="horz" wrap="square" lIns="12700" tIns="12700" rIns="12700" bIns="12700" anchor="t" anchorCtr="0" upright="1">
                        <a:noAutofit/>
                      </wps:bodyPr>
                    </wps:wsp>
                    <wps:wsp>
                      <wps:cNvPr id="24" name="Rectangle 56"/>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058" style="position:absolute;left:0;text-align:left;margin-left:348.7pt;margin-top:25.5pt;width:13.5pt;height:412.2pt;z-index:251657728;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" o:allowincell="f">
              <v:rect id="Rectangle 50" o:spid="_x0000_s1059"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rsidR="0025156A" w:rsidRDefault="0025156A" w:rsidP="00964728">
                      <w:pPr>
                        <w:rPr>
                          <w:rtl/>
                        </w:rPr>
                      </w:pPr>
                      <w:r>
                        <w:rPr>
                          <w:szCs w:val="28"/>
                          <w:rtl/>
                        </w:rPr>
                        <w:t>א</w:t>
                      </w:r>
                    </w:p>
                  </w:txbxContent>
                </v:textbox>
              </v:rect>
              <v:rect id="Rectangle 51" o:spid="_x0000_s1060"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" filled="f" stroked="f">
                <v:textbox inset="1pt,1pt,1pt,1pt">
                  <w:txbxContent>
                    <w:p w:rsidR="0025156A" w:rsidRDefault="0025156A" w:rsidP="00964728">
                      <w:pPr>
                        <w:rPr>
                          <w:rtl/>
                        </w:rPr>
                      </w:pPr>
                      <w:r>
                        <w:rPr>
                          <w:szCs w:val="28"/>
                          <w:rtl/>
                        </w:rPr>
                        <w:t>ב</w:t>
                      </w:r>
                    </w:p>
                  </w:txbxContent>
                </v:textbox>
              </v:rect>
              <v:rect id="Rectangle 52" o:spid="_x0000_s1061"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" filled="f" stroked="f">
                <v:textbox inset="1pt,1pt,1pt,1pt">
                  <w:txbxContent>
                    <w:p w:rsidR="0025156A" w:rsidRDefault="0025156A" w:rsidP="00964728">
                      <w:pPr>
                        <w:rPr>
                          <w:rtl/>
                        </w:rPr>
                      </w:pPr>
                      <w:r>
                        <w:rPr>
                          <w:szCs w:val="28"/>
                          <w:rtl/>
                        </w:rPr>
                        <w:t>ג</w:t>
                      </w:r>
                    </w:p>
                  </w:txbxContent>
                </v:textbox>
              </v:rect>
              <v:rect id="Rectangle 53" o:spid="_x0000_s1062"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" filled="f" stroked="f">
                <v:textbox inset="1pt,1pt,1pt,1pt">
                  <w:txbxContent>
                    <w:p w:rsidR="0025156A" w:rsidRDefault="0025156A" w:rsidP="00964728">
                      <w:pPr>
                        <w:rPr>
                          <w:rtl/>
                        </w:rPr>
                      </w:pPr>
                      <w:r>
                        <w:rPr>
                          <w:szCs w:val="28"/>
                          <w:rtl/>
                        </w:rPr>
                        <w:t>ד</w:t>
                      </w:r>
                    </w:p>
                  </w:txbxContent>
                </v:textbox>
              </v:rect>
              <v:rect id="Rectangle 54" o:spid="_x0000_s1063"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" filled="f" stroked="f">
                <v:textbox inset="1pt,1pt,1pt,1pt">
                  <w:txbxContent>
                    <w:p w:rsidR="0025156A" w:rsidRDefault="0025156A" w:rsidP="00964728">
                      <w:pPr>
                        <w:rPr>
                          <w:rtl/>
                        </w:rPr>
                      </w:pPr>
                      <w:r>
                        <w:rPr>
                          <w:szCs w:val="28"/>
                          <w:rtl/>
                        </w:rPr>
                        <w:t>ה</w:t>
                      </w:r>
                    </w:p>
                  </w:txbxContent>
                </v:textbox>
              </v:rect>
              <v:rect id="Rectangle 55" o:spid="_x0000_s1064"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7kwgAAANsAAAAPAAAAZHJzL2Rvd25yZXYueG1sRI9Ba8JA&#10;FITvQv/D8gq9SN2ooJ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AVWo7kwgAAANsAAAAPAAAA&#10;AAAAAAAAAAAAAAcCAABkcnMvZG93bnJldi54bWxQSwUGAAAAAAMAAwC3AAAA9gIAAAAA&#10;" filled="f" stroked="f">
                <v:textbox inset="1pt,1pt,1pt,1pt">
                  <w:txbxContent>
                    <w:p w:rsidR="0025156A" w:rsidRDefault="0025156A" w:rsidP="00964728">
                      <w:pPr>
                        <w:rPr>
                          <w:rtl/>
                        </w:rPr>
                      </w:pPr>
                      <w:r>
                        <w:rPr>
                          <w:szCs w:val="28"/>
                          <w:rtl/>
                        </w:rPr>
                        <w:t>ו</w:t>
                      </w:r>
                    </w:p>
                  </w:txbxContent>
                </v:textbox>
              </v:rect>
              <v:rect id="Rectangle 56" o:spid="_x0000_s1065"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" filled="f" stroked="f">
                <v:textbox inset="1pt,1pt,1pt,1pt">
                  <w:txbxContent>
                    <w:p w:rsidR="0025156A" w:rsidRDefault="0025156A" w:rsidP="00964728">
                      <w:pPr>
                        <w:rPr>
                          <w:rtl/>
                        </w:rPr>
                      </w:pPr>
                      <w:r>
                        <w:rPr>
                          <w:szCs w:val="28"/>
                          <w:rtl/>
                        </w:rPr>
                        <w:t>ז</w:t>
                      </w:r>
                    </w:p>
                  </w:txbxContent>
                </v:textbox>
              </v:rect>
              <w10:wrap anchory="margin"/>
            </v:group>
          </w:pict>
        </mc:Fallback>
      </mc:AlternateContent>
    </w:r>
    <w:r w:rsidR="0025156A">
      <w:rPr>
        <w:rFonts w:cs="FrankRuehl"/>
        <w:szCs w:val="22"/>
        <w:rtl/>
      </w:rPr>
      <w:t xml:space="preserve">פ"ד </w:t>
    </w:r>
    <w:r w:rsidR="0025156A">
      <w:rPr>
        <w:rFonts w:cs="FrankRuehl" w:hint="cs"/>
        <w:szCs w:val="22"/>
        <w:rtl/>
      </w:rPr>
      <w:t>ס</w:t>
    </w:r>
    <w:r w:rsidR="0025156A">
      <w:rPr>
        <w:rFonts w:cs="FrankRuehl"/>
        <w:szCs w:val="22"/>
        <w:rtl/>
      </w:rPr>
      <w:t>(</w:t>
    </w:r>
    <w:r w:rsidR="0025156A">
      <w:rPr>
        <w:rFonts w:cs="FrankRuehl" w:hint="cs"/>
        <w:szCs w:val="22"/>
        <w:rtl/>
      </w:rPr>
      <w:t>2</w:t>
    </w:r>
    <w:r w:rsidR="0025156A">
      <w:rPr>
        <w:rFonts w:cs="FrankRuehl"/>
        <w:szCs w:val="22"/>
        <w:rtl/>
      </w:rPr>
      <w:t xml:space="preserve">) </w:t>
    </w:r>
    <w:r w:rsidR="0025156A">
      <w:rPr>
        <w:rFonts w:cs="FrankRuehl" w:hint="cs"/>
        <w:sz w:val="22"/>
        <w:szCs w:val="22"/>
        <w:rtl/>
      </w:rPr>
      <w:t>120</w:t>
    </w:r>
    <w:r w:rsidR="0025156A">
      <w:rPr>
        <w:rtl/>
      </w:rPr>
      <w:tab/>
    </w:r>
    <w:r w:rsidR="0025156A">
      <w:rPr>
        <w:rFonts w:hint="cs"/>
        <w:rtl/>
      </w:rPr>
      <w:t>השופט א' א' לוי</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Default="00A1395F" w:rsidP="00165B1B">
    <w:pPr>
      <w:pStyle w:val="2"/>
      <w:jc w:val="left"/>
      <w:rPr>
        <w:rFonts w:hint="cs"/>
        <w:rtl/>
      </w:rPr>
    </w:pPr>
    <w:r>
      <w:rPr>
        <w:rFonts w:cs="FrankRuehl"/>
        <w:noProof/>
        <w:szCs w:val="22"/>
        <w:rtl/>
        <w:lang w:eastAsia="en-US"/>
      </w:rPr>
      <mc:AlternateContent>
        <mc:Choice Requires="wpg">
          <w:drawing>
            <wp:anchor distT="0" distB="0" distL="114300" distR="114300" simplePos="0" relativeHeight="251659776" behindDoc="0" locked="0" layoutInCell="0" allowOverlap="1">
              <wp:simplePos x="0" y="0"/>
              <wp:positionH relativeFrom="column">
                <wp:posOffset>-467995</wp:posOffset>
              </wp:positionH>
              <wp:positionV relativeFrom="margin">
                <wp:posOffset>323850</wp:posOffset>
              </wp:positionV>
              <wp:extent cx="171450" cy="5234940"/>
              <wp:effectExtent l="0" t="0" r="1270" b="3810"/>
              <wp:wrapNone/>
              <wp:docPr id="9"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10" name="Rectangle 82"/>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א</w:t>
                            </w:r>
                          </w:p>
                        </w:txbxContent>
                      </wps:txbx>
                      <wps:bodyPr rot="0" vert="horz" wrap="square" lIns="12700" tIns="12700" rIns="12700" bIns="12700" anchor="t" anchorCtr="0" upright="1">
                        <a:noAutofit/>
                      </wps:bodyPr>
                    </wps:wsp>
                    <wps:wsp>
                      <wps:cNvPr id="11" name="Rectangle 83"/>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ב</w:t>
                            </w:r>
                          </w:p>
                        </w:txbxContent>
                      </wps:txbx>
                      <wps:bodyPr rot="0" vert="horz" wrap="square" lIns="12700" tIns="12700" rIns="12700" bIns="12700" anchor="t" anchorCtr="0" upright="1">
                        <a:noAutofit/>
                      </wps:bodyPr>
                    </wps:wsp>
                    <wps:wsp>
                      <wps:cNvPr id="12" name="Rectangle 84"/>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ג</w:t>
                            </w:r>
                          </w:p>
                        </w:txbxContent>
                      </wps:txbx>
                      <wps:bodyPr rot="0" vert="horz" wrap="square" lIns="12700" tIns="12700" rIns="12700" bIns="12700" anchor="t" anchorCtr="0" upright="1">
                        <a:noAutofit/>
                      </wps:bodyPr>
                    </wps:wsp>
                    <wps:wsp>
                      <wps:cNvPr id="13" name="Rectangle 85"/>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ד</w:t>
                            </w:r>
                          </w:p>
                        </w:txbxContent>
                      </wps:txbx>
                      <wps:bodyPr rot="0" vert="horz" wrap="square" lIns="12700" tIns="12700" rIns="12700" bIns="12700" anchor="t" anchorCtr="0" upright="1">
                        <a:noAutofit/>
                      </wps:bodyPr>
                    </wps:wsp>
                    <wps:wsp>
                      <wps:cNvPr id="14" name="Rectangle 86"/>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ה</w:t>
                            </w:r>
                          </w:p>
                        </w:txbxContent>
                      </wps:txbx>
                      <wps:bodyPr rot="0" vert="horz" wrap="square" lIns="12700" tIns="12700" rIns="12700" bIns="12700" anchor="t" anchorCtr="0" upright="1">
                        <a:noAutofit/>
                      </wps:bodyPr>
                    </wps:wsp>
                    <wps:wsp>
                      <wps:cNvPr id="15" name="Rectangle 87"/>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ו</w:t>
                            </w:r>
                          </w:p>
                        </w:txbxContent>
                      </wps:txbx>
                      <wps:bodyPr rot="0" vert="horz" wrap="square" lIns="12700" tIns="12700" rIns="12700" bIns="12700" anchor="t" anchorCtr="0" upright="1">
                        <a:noAutofit/>
                      </wps:bodyPr>
                    </wps:wsp>
                    <wps:wsp>
                      <wps:cNvPr id="16" name="Rectangle 88"/>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165B1B">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1" o:spid="_x0000_s1066" style="position:absolute;left:0;text-align:left;margin-left:-36.85pt;margin-top:25.5pt;width:13.5pt;height:412.2pt;z-index:251659776;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" o:allowincell="f">
              <v:rect id="Rectangle 82" o:spid="_x0000_s1067"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" filled="f" stroked="f" strokeweight=".25pt">
                <v:textbox inset="1pt,1pt,1pt,1pt">
                  <w:txbxContent>
                    <w:p w:rsidR="0025156A" w:rsidRDefault="0025156A" w:rsidP="00165B1B">
                      <w:pPr>
                        <w:rPr>
                          <w:rtl/>
                        </w:rPr>
                      </w:pPr>
                      <w:r>
                        <w:rPr>
                          <w:szCs w:val="28"/>
                          <w:rtl/>
                        </w:rPr>
                        <w:t>א</w:t>
                      </w:r>
                    </w:p>
                  </w:txbxContent>
                </v:textbox>
              </v:rect>
              <v:rect id="Rectangle 83" o:spid="_x0000_s1068"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" filled="f" stroked="f">
                <v:textbox inset="1pt,1pt,1pt,1pt">
                  <w:txbxContent>
                    <w:p w:rsidR="0025156A" w:rsidRDefault="0025156A" w:rsidP="00165B1B">
                      <w:pPr>
                        <w:rPr>
                          <w:rtl/>
                        </w:rPr>
                      </w:pPr>
                      <w:r>
                        <w:rPr>
                          <w:szCs w:val="28"/>
                          <w:rtl/>
                        </w:rPr>
                        <w:t>ב</w:t>
                      </w:r>
                    </w:p>
                  </w:txbxContent>
                </v:textbox>
              </v:rect>
              <v:rect id="Rectangle 84" o:spid="_x0000_s1069"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" filled="f" stroked="f">
                <v:textbox inset="1pt,1pt,1pt,1pt">
                  <w:txbxContent>
                    <w:p w:rsidR="0025156A" w:rsidRDefault="0025156A" w:rsidP="00165B1B">
                      <w:pPr>
                        <w:rPr>
                          <w:rtl/>
                        </w:rPr>
                      </w:pPr>
                      <w:r>
                        <w:rPr>
                          <w:szCs w:val="28"/>
                          <w:rtl/>
                        </w:rPr>
                        <w:t>ג</w:t>
                      </w:r>
                    </w:p>
                  </w:txbxContent>
                </v:textbox>
              </v:rect>
              <v:rect id="Rectangle 85" o:spid="_x0000_s1070"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kRZwAAAANsAAAAPAAAAZHJzL2Rvd25yZXYueG1sRE9Na8JA&#10;EL0X+h+WEXopdWMF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2zZEWcAAAADbAAAADwAAAAAA&#10;AAAAAAAAAAAHAgAAZHJzL2Rvd25yZXYueG1sUEsFBgAAAAADAAMAtwAAAPQCAAAAAA==&#10;" filled="f" stroked="f">
                <v:textbox inset="1pt,1pt,1pt,1pt">
                  <w:txbxContent>
                    <w:p w:rsidR="0025156A" w:rsidRDefault="0025156A" w:rsidP="00165B1B">
                      <w:pPr>
                        <w:rPr>
                          <w:rtl/>
                        </w:rPr>
                      </w:pPr>
                      <w:r>
                        <w:rPr>
                          <w:szCs w:val="28"/>
                          <w:rtl/>
                        </w:rPr>
                        <w:t>ד</w:t>
                      </w:r>
                    </w:p>
                  </w:txbxContent>
                </v:textbox>
              </v:rect>
              <v:rect id="Rectangle 86" o:spid="_x0000_s1071"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9wtwAAAANsAAAAPAAAAZHJzL2Rvd25yZXYueG1sRE9Na8JA&#10;EL0X+h+WEXopdWMR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VN/cLcAAAADbAAAADwAAAAAA&#10;AAAAAAAAAAAHAgAAZHJzL2Rvd25yZXYueG1sUEsFBgAAAAADAAMAtwAAAPQCAAAAAA==&#10;" filled="f" stroked="f">
                <v:textbox inset="1pt,1pt,1pt,1pt">
                  <w:txbxContent>
                    <w:p w:rsidR="0025156A" w:rsidRDefault="0025156A" w:rsidP="00165B1B">
                      <w:pPr>
                        <w:rPr>
                          <w:rtl/>
                        </w:rPr>
                      </w:pPr>
                      <w:r>
                        <w:rPr>
                          <w:szCs w:val="28"/>
                          <w:rtl/>
                        </w:rPr>
                        <w:t>ה</w:t>
                      </w:r>
                    </w:p>
                  </w:txbxContent>
                </v:textbox>
              </v:rect>
              <v:rect id="Rectangle 87" o:spid="_x0000_s1072"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" filled="f" stroked="f">
                <v:textbox inset="1pt,1pt,1pt,1pt">
                  <w:txbxContent>
                    <w:p w:rsidR="0025156A" w:rsidRDefault="0025156A" w:rsidP="00165B1B">
                      <w:pPr>
                        <w:rPr>
                          <w:rtl/>
                        </w:rPr>
                      </w:pPr>
                      <w:r>
                        <w:rPr>
                          <w:szCs w:val="28"/>
                          <w:rtl/>
                        </w:rPr>
                        <w:t>ו</w:t>
                      </w:r>
                    </w:p>
                  </w:txbxContent>
                </v:textbox>
              </v:rect>
              <v:rect id="Rectangle 88" o:spid="_x0000_s1073"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" filled="f" stroked="f">
                <v:textbox inset="1pt,1pt,1pt,1pt">
                  <w:txbxContent>
                    <w:p w:rsidR="0025156A" w:rsidRDefault="0025156A" w:rsidP="00165B1B">
                      <w:pPr>
                        <w:rPr>
                          <w:rtl/>
                        </w:rPr>
                      </w:pPr>
                      <w:r>
                        <w:rPr>
                          <w:szCs w:val="28"/>
                          <w:rtl/>
                        </w:rPr>
                        <w:t>ז</w:t>
                      </w:r>
                    </w:p>
                  </w:txbxContent>
                </v:textbox>
              </v:rect>
              <w10:wrap anchory="margin"/>
            </v:group>
          </w:pict>
        </mc:Fallback>
      </mc:AlternateContent>
    </w:r>
    <w:r w:rsidR="0025156A">
      <w:rPr>
        <w:rFonts w:cs="FrankRuehl"/>
        <w:szCs w:val="22"/>
        <w:rtl/>
      </w:rPr>
      <w:t xml:space="preserve">פ"ד </w:t>
    </w:r>
    <w:r w:rsidR="0025156A">
      <w:rPr>
        <w:rFonts w:cs="FrankRuehl" w:hint="cs"/>
        <w:szCs w:val="22"/>
        <w:rtl/>
      </w:rPr>
      <w:t>ס</w:t>
    </w:r>
    <w:r w:rsidR="0025156A">
      <w:rPr>
        <w:rFonts w:cs="FrankRuehl"/>
        <w:szCs w:val="22"/>
        <w:rtl/>
      </w:rPr>
      <w:t>(</w:t>
    </w:r>
    <w:r w:rsidR="0025156A">
      <w:rPr>
        <w:rFonts w:cs="FrankRuehl" w:hint="cs"/>
        <w:szCs w:val="22"/>
        <w:rtl/>
      </w:rPr>
      <w:t>2</w:t>
    </w:r>
    <w:r w:rsidR="0025156A">
      <w:rPr>
        <w:rFonts w:cs="FrankRuehl"/>
        <w:szCs w:val="22"/>
        <w:rtl/>
      </w:rPr>
      <w:t xml:space="preserve">) </w:t>
    </w:r>
    <w:r w:rsidR="0025156A">
      <w:rPr>
        <w:rFonts w:cs="FrankRuehl" w:hint="cs"/>
        <w:sz w:val="22"/>
        <w:szCs w:val="22"/>
        <w:rtl/>
      </w:rPr>
      <w:t>120</w:t>
    </w:r>
    <w:r w:rsidR="0025156A">
      <w:rPr>
        <w:rtl/>
      </w:rPr>
      <w:tab/>
    </w:r>
    <w:r w:rsidR="0025156A">
      <w:rPr>
        <w:rFonts w:hint="cs"/>
        <w:rtl/>
      </w:rPr>
      <w:t>השופט א' א' לוי, השופטת א' חיות</w:t>
    </w:r>
  </w:p>
  <w:p w:rsidR="0025156A" w:rsidRDefault="0025156A" w:rsidP="009F3939">
    <w:pPr>
      <w:pStyle w:val="2"/>
      <w:jc w:val="left"/>
      <w:rPr>
        <w:rFonts w:hint="cs"/>
        <w:rt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56A" w:rsidRDefault="0025156A" w:rsidP="00165B1B">
    <w:pPr>
      <w:pStyle w:val="Header"/>
      <w:pBdr>
        <w:bottom w:val="single" w:sz="6" w:space="1" w:color="auto"/>
      </w:pBdr>
      <w:tabs>
        <w:tab w:val="clear" w:pos="4153"/>
        <w:tab w:val="clear" w:pos="8306"/>
        <w:tab w:val="right" w:pos="6521"/>
        <w:tab w:val="center" w:pos="9498"/>
      </w:tabs>
      <w:rPr>
        <w:rFonts w:hint="cs"/>
        <w:rtl/>
      </w:rPr>
    </w:pPr>
    <w:r>
      <w:rPr>
        <w:rFonts w:hint="cs"/>
        <w:rtl/>
      </w:rPr>
      <w:t>ע"פ</w:t>
    </w:r>
    <w:r>
      <w:rPr>
        <w:rtl/>
      </w:rPr>
      <w:t xml:space="preserve"> </w:t>
    </w:r>
    <w:r>
      <w:rPr>
        <w:rFonts w:hint="cs"/>
        <w:rtl/>
      </w:rPr>
      <w:t>7829/03</w:t>
    </w:r>
    <w:r>
      <w:rPr>
        <w:rtl/>
      </w:rPr>
      <w:tab/>
    </w:r>
    <w:r>
      <w:rPr>
        <w:rFonts w:hint="cs"/>
        <w:rtl/>
      </w:rPr>
      <w:t>מדינת ישראל נ' אריאל הנדסת חשמל רמזורים ובקרה בע"מ</w:t>
    </w:r>
  </w:p>
  <w:p w:rsidR="0025156A" w:rsidRDefault="00A1395F" w:rsidP="009F3939">
    <w:pPr>
      <w:pStyle w:val="2"/>
      <w:jc w:val="left"/>
      <w:rPr>
        <w:rFonts w:hint="cs"/>
        <w:rtl/>
      </w:rPr>
    </w:pPr>
    <w:r>
      <w:rPr>
        <w:rFonts w:cs="FrankRuehl"/>
        <w:noProof/>
        <w:szCs w:val="22"/>
        <w:rtl/>
        <w:lang w:eastAsia="en-US"/>
      </w:rPr>
      <mc:AlternateContent>
        <mc:Choice Requires="wpg">
          <w:drawing>
            <wp:anchor distT="0" distB="0" distL="114300" distR="114300" simplePos="0" relativeHeight="251660800" behindDoc="0" locked="0" layoutInCell="0" allowOverlap="1">
              <wp:simplePos x="0" y="0"/>
              <wp:positionH relativeFrom="column">
                <wp:posOffset>4428490</wp:posOffset>
              </wp:positionH>
              <wp:positionV relativeFrom="margin">
                <wp:posOffset>323850</wp:posOffset>
              </wp:positionV>
              <wp:extent cx="171450" cy="5234940"/>
              <wp:effectExtent l="0" t="0" r="635" b="3810"/>
              <wp:wrapNone/>
              <wp:docPr id="1"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 cy="5234940"/>
                        <a:chOff x="0" y="0"/>
                        <a:chExt cx="20000" cy="20007"/>
                      </a:xfrm>
                    </wpg:grpSpPr>
                    <wps:wsp>
                      <wps:cNvPr id="2" name="Rectangle 90"/>
                      <wps:cNvSpPr>
                        <a:spLocks noChangeArrowheads="1"/>
                      </wps:cNvSpPr>
                      <wps:spPr bwMode="auto">
                        <a:xfrm>
                          <a:off x="0" y="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א</w:t>
                            </w:r>
                          </w:p>
                        </w:txbxContent>
                      </wps:txbx>
                      <wps:bodyPr rot="0" vert="horz" wrap="square" lIns="12700" tIns="12700" rIns="12700" bIns="12700" anchor="t" anchorCtr="0" upright="1">
                        <a:noAutofit/>
                      </wps:bodyPr>
                    </wps:wsp>
                    <wps:wsp>
                      <wps:cNvPr id="3" name="Rectangle 91"/>
                      <wps:cNvSpPr>
                        <a:spLocks noChangeArrowheads="1"/>
                      </wps:cNvSpPr>
                      <wps:spPr bwMode="auto">
                        <a:xfrm>
                          <a:off x="0" y="326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ב</w:t>
                            </w:r>
                          </w:p>
                        </w:txbxContent>
                      </wps:txbx>
                      <wps:bodyPr rot="0" vert="horz" wrap="square" lIns="12700" tIns="12700" rIns="12700" bIns="12700" anchor="t" anchorCtr="0" upright="1">
                        <a:noAutofit/>
                      </wps:bodyPr>
                    </wps:wsp>
                    <wps:wsp>
                      <wps:cNvPr id="4" name="Rectangle 92"/>
                      <wps:cNvSpPr>
                        <a:spLocks noChangeArrowheads="1"/>
                      </wps:cNvSpPr>
                      <wps:spPr bwMode="auto">
                        <a:xfrm>
                          <a:off x="0" y="646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ג</w:t>
                            </w:r>
                          </w:p>
                        </w:txbxContent>
                      </wps:txbx>
                      <wps:bodyPr rot="0" vert="horz" wrap="square" lIns="12700" tIns="12700" rIns="12700" bIns="12700" anchor="t" anchorCtr="0" upright="1">
                        <a:noAutofit/>
                      </wps:bodyPr>
                    </wps:wsp>
                    <wps:wsp>
                      <wps:cNvPr id="5" name="Rectangle 93"/>
                      <wps:cNvSpPr>
                        <a:spLocks noChangeArrowheads="1"/>
                      </wps:cNvSpPr>
                      <wps:spPr bwMode="auto">
                        <a:xfrm>
                          <a:off x="0" y="9656"/>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ד</w:t>
                            </w:r>
                          </w:p>
                        </w:txbxContent>
                      </wps:txbx>
                      <wps:bodyPr rot="0" vert="horz" wrap="square" lIns="12700" tIns="12700" rIns="12700" bIns="12700" anchor="t" anchorCtr="0" upright="1">
                        <a:noAutofit/>
                      </wps:bodyPr>
                    </wps:wsp>
                    <wps:wsp>
                      <wps:cNvPr id="6" name="Rectangle 94"/>
                      <wps:cNvSpPr>
                        <a:spLocks noChangeArrowheads="1"/>
                      </wps:cNvSpPr>
                      <wps:spPr bwMode="auto">
                        <a:xfrm>
                          <a:off x="0" y="12850"/>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ה</w:t>
                            </w:r>
                          </w:p>
                        </w:txbxContent>
                      </wps:txbx>
                      <wps:bodyPr rot="0" vert="horz" wrap="square" lIns="12700" tIns="12700" rIns="12700" bIns="12700" anchor="t" anchorCtr="0" upright="1">
                        <a:noAutofit/>
                      </wps:bodyPr>
                    </wps:wsp>
                    <wps:wsp>
                      <wps:cNvPr id="7" name="Rectangle 95"/>
                      <wps:cNvSpPr>
                        <a:spLocks noChangeArrowheads="1"/>
                      </wps:cNvSpPr>
                      <wps:spPr bwMode="auto">
                        <a:xfrm>
                          <a:off x="0" y="16114"/>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ו</w:t>
                            </w:r>
                          </w:p>
                        </w:txbxContent>
                      </wps:txbx>
                      <wps:bodyPr rot="0" vert="horz" wrap="square" lIns="12700" tIns="12700" rIns="12700" bIns="12700" anchor="t" anchorCtr="0" upright="1">
                        <a:noAutofit/>
                      </wps:bodyPr>
                    </wps:wsp>
                    <wps:wsp>
                      <wps:cNvPr id="8" name="Rectangle 96"/>
                      <wps:cNvSpPr>
                        <a:spLocks noChangeArrowheads="1"/>
                      </wps:cNvSpPr>
                      <wps:spPr bwMode="auto">
                        <a:xfrm>
                          <a:off x="0" y="19308"/>
                          <a:ext cx="20000" cy="6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5156A" w:rsidRDefault="0025156A" w:rsidP="00964728">
                            <w:pPr>
                              <w:rPr>
                                <w:rtl/>
                              </w:rPr>
                            </w:pPr>
                            <w:r>
                              <w:rPr>
                                <w:szCs w:val="28"/>
                                <w:rtl/>
                              </w:rPr>
                              <w:t>ז</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9" o:spid="_x0000_s1074" style="position:absolute;left:0;text-align:left;margin-left:348.7pt;margin-top:25.5pt;width:13.5pt;height:412.2pt;z-index:251660800;mso-position-vertical-relative:margin" coordsize="20000,2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" o:allowincell="f">
              <v:rect id="Rectangle 90" o:spid="_x0000_s1075" style="position:absolute;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" filled="f" stroked="f" strokeweight=".25pt">
                <v:textbox inset="1pt,1pt,1pt,1pt">
                  <w:txbxContent>
                    <w:p w:rsidR="0025156A" w:rsidRDefault="0025156A" w:rsidP="00964728">
                      <w:pPr>
                        <w:rPr>
                          <w:rtl/>
                        </w:rPr>
                      </w:pPr>
                      <w:r>
                        <w:rPr>
                          <w:szCs w:val="28"/>
                          <w:rtl/>
                        </w:rPr>
                        <w:t>א</w:t>
                      </w:r>
                    </w:p>
                  </w:txbxContent>
                </v:textbox>
              </v:rect>
              <v:rect id="Rectangle 91" o:spid="_x0000_s1076" style="position:absolute;top:326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r6xwgAAANoAAAAPAAAAZHJzL2Rvd25yZXYueG1sRI9Ba8JA&#10;FITvQv/D8gq9SN1YQU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C0Rr6xwgAAANoAAAAPAAAA&#10;AAAAAAAAAAAAAAcCAABkcnMvZG93bnJldi54bWxQSwUGAAAAAAMAAwC3AAAA9gIAAAAA&#10;" filled="f" stroked="f">
                <v:textbox inset="1pt,1pt,1pt,1pt">
                  <w:txbxContent>
                    <w:p w:rsidR="0025156A" w:rsidRDefault="0025156A" w:rsidP="00964728">
                      <w:pPr>
                        <w:rPr>
                          <w:rtl/>
                        </w:rPr>
                      </w:pPr>
                      <w:r>
                        <w:rPr>
                          <w:szCs w:val="28"/>
                          <w:rtl/>
                        </w:rPr>
                        <w:t>ב</w:t>
                      </w:r>
                    </w:p>
                  </w:txbxContent>
                </v:textbox>
              </v:rect>
              <v:rect id="Rectangle 92" o:spid="_x0000_s1077" style="position:absolute;top:646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ybFwgAAANoAAAAPAAAAZHJzL2Rvd25yZXYueG1sRI9Ba8JA&#10;FITvQv/D8gq9SN1YR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A7rybFwgAAANoAAAAPAAAA&#10;AAAAAAAAAAAAAAcCAABkcnMvZG93bnJldi54bWxQSwUGAAAAAAMAAwC3AAAA9gIAAAAA&#10;" filled="f" stroked="f">
                <v:textbox inset="1pt,1pt,1pt,1pt">
                  <w:txbxContent>
                    <w:p w:rsidR="0025156A" w:rsidRDefault="0025156A" w:rsidP="00964728">
                      <w:pPr>
                        <w:rPr>
                          <w:rtl/>
                        </w:rPr>
                      </w:pPr>
                      <w:r>
                        <w:rPr>
                          <w:szCs w:val="28"/>
                          <w:rtl/>
                        </w:rPr>
                        <w:t>ג</w:t>
                      </w:r>
                    </w:p>
                  </w:txbxContent>
                </v:textbox>
              </v:rect>
              <v:rect id="Rectangle 93" o:spid="_x0000_s1078" style="position:absolute;top:9656;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" filled="f" stroked="f">
                <v:textbox inset="1pt,1pt,1pt,1pt">
                  <w:txbxContent>
                    <w:p w:rsidR="0025156A" w:rsidRDefault="0025156A" w:rsidP="00964728">
                      <w:pPr>
                        <w:rPr>
                          <w:rtl/>
                        </w:rPr>
                      </w:pPr>
                      <w:r>
                        <w:rPr>
                          <w:szCs w:val="28"/>
                          <w:rtl/>
                        </w:rPr>
                        <w:t>ד</w:t>
                      </w:r>
                    </w:p>
                  </w:txbxContent>
                </v:textbox>
              </v:rect>
              <v:rect id="Rectangle 94" o:spid="_x0000_s1079" style="position:absolute;top:12850;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" filled="f" stroked="f">
                <v:textbox inset="1pt,1pt,1pt,1pt">
                  <w:txbxContent>
                    <w:p w:rsidR="0025156A" w:rsidRDefault="0025156A" w:rsidP="00964728">
                      <w:pPr>
                        <w:rPr>
                          <w:rtl/>
                        </w:rPr>
                      </w:pPr>
                      <w:r>
                        <w:rPr>
                          <w:szCs w:val="28"/>
                          <w:rtl/>
                        </w:rPr>
                        <w:t>ה</w:t>
                      </w:r>
                    </w:p>
                  </w:txbxContent>
                </v:textbox>
              </v:rect>
              <v:rect id="Rectangle 95" o:spid="_x0000_s1080" style="position:absolute;top:16114;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" filled="f" stroked="f">
                <v:textbox inset="1pt,1pt,1pt,1pt">
                  <w:txbxContent>
                    <w:p w:rsidR="0025156A" w:rsidRDefault="0025156A" w:rsidP="00964728">
                      <w:pPr>
                        <w:rPr>
                          <w:rtl/>
                        </w:rPr>
                      </w:pPr>
                      <w:r>
                        <w:rPr>
                          <w:szCs w:val="28"/>
                          <w:rtl/>
                        </w:rPr>
                        <w:t>ו</w:t>
                      </w:r>
                    </w:p>
                  </w:txbxContent>
                </v:textbox>
              </v:rect>
              <v:rect id="Rectangle 96" o:spid="_x0000_s1081" style="position:absolute;top:19308;width:20000;height: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" filled="f" stroked="f">
                <v:textbox inset="1pt,1pt,1pt,1pt">
                  <w:txbxContent>
                    <w:p w:rsidR="0025156A" w:rsidRDefault="0025156A" w:rsidP="00964728">
                      <w:pPr>
                        <w:rPr>
                          <w:rtl/>
                        </w:rPr>
                      </w:pPr>
                      <w:r>
                        <w:rPr>
                          <w:szCs w:val="28"/>
                          <w:rtl/>
                        </w:rPr>
                        <w:t>ז</w:t>
                      </w:r>
                    </w:p>
                  </w:txbxContent>
                </v:textbox>
              </v:rect>
              <w10:wrap anchory="margin"/>
            </v:group>
          </w:pict>
        </mc:Fallback>
      </mc:AlternateContent>
    </w:r>
    <w:r w:rsidR="0025156A">
      <w:rPr>
        <w:rFonts w:cs="FrankRuehl"/>
        <w:szCs w:val="22"/>
        <w:rtl/>
      </w:rPr>
      <w:t xml:space="preserve">פ"ד </w:t>
    </w:r>
    <w:r w:rsidR="0025156A">
      <w:rPr>
        <w:rFonts w:cs="FrankRuehl" w:hint="cs"/>
        <w:szCs w:val="22"/>
        <w:rtl/>
      </w:rPr>
      <w:t>ס</w:t>
    </w:r>
    <w:r w:rsidR="0025156A">
      <w:rPr>
        <w:rFonts w:cs="FrankRuehl"/>
        <w:szCs w:val="22"/>
        <w:rtl/>
      </w:rPr>
      <w:t>(</w:t>
    </w:r>
    <w:r w:rsidR="0025156A">
      <w:rPr>
        <w:rFonts w:cs="FrankRuehl" w:hint="cs"/>
        <w:szCs w:val="22"/>
        <w:rtl/>
      </w:rPr>
      <w:t>2</w:t>
    </w:r>
    <w:r w:rsidR="0025156A">
      <w:rPr>
        <w:rFonts w:cs="FrankRuehl"/>
        <w:szCs w:val="22"/>
        <w:rtl/>
      </w:rPr>
      <w:t xml:space="preserve">) </w:t>
    </w:r>
    <w:r w:rsidR="0025156A">
      <w:rPr>
        <w:rFonts w:cs="FrankRuehl" w:hint="cs"/>
        <w:sz w:val="22"/>
        <w:szCs w:val="22"/>
        <w:rtl/>
      </w:rPr>
      <w:t>120</w:t>
    </w:r>
    <w:r w:rsidR="0025156A">
      <w:rPr>
        <w:rtl/>
      </w:rPr>
      <w:tab/>
    </w:r>
    <w:r w:rsidR="0025156A">
      <w:rPr>
        <w:rFonts w:hint="cs"/>
        <w:rtl/>
      </w:rPr>
      <w:t>השופטת א' חיות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6D4326"/>
    <w:multiLevelType w:val="hybridMultilevel"/>
    <w:tmpl w:val="244AB46A"/>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2119DA"/>
    <w:multiLevelType w:val="hybridMultilevel"/>
    <w:tmpl w:val="9CEEC76C"/>
    <w:lvl w:ilvl="0" w:tplc="B470BB30">
      <w:start w:val="7"/>
      <w:numFmt w:val="decimal"/>
      <w:lvlText w:val="%1."/>
      <w:lvlJc w:val="left"/>
      <w:pPr>
        <w:tabs>
          <w:tab w:val="num" w:pos="1140"/>
        </w:tabs>
        <w:ind w:left="114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2CF4C49"/>
    <w:multiLevelType w:val="hybridMultilevel"/>
    <w:tmpl w:val="5D8E91E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5D2534"/>
    <w:rsid w:val="00000D2F"/>
    <w:rsid w:val="000042BA"/>
    <w:rsid w:val="00010BA8"/>
    <w:rsid w:val="00020757"/>
    <w:rsid w:val="00024721"/>
    <w:rsid w:val="0007189D"/>
    <w:rsid w:val="00075CB5"/>
    <w:rsid w:val="000D5368"/>
    <w:rsid w:val="000E0A04"/>
    <w:rsid w:val="000E680E"/>
    <w:rsid w:val="0010093D"/>
    <w:rsid w:val="001019FA"/>
    <w:rsid w:val="00103434"/>
    <w:rsid w:val="00165B1B"/>
    <w:rsid w:val="00166A59"/>
    <w:rsid w:val="001768AD"/>
    <w:rsid w:val="001867CF"/>
    <w:rsid w:val="00190020"/>
    <w:rsid w:val="001C5D0C"/>
    <w:rsid w:val="001D466A"/>
    <w:rsid w:val="00207B0D"/>
    <w:rsid w:val="002126F8"/>
    <w:rsid w:val="0022545B"/>
    <w:rsid w:val="0025156A"/>
    <w:rsid w:val="0025242F"/>
    <w:rsid w:val="0027052B"/>
    <w:rsid w:val="0027102D"/>
    <w:rsid w:val="00280EC2"/>
    <w:rsid w:val="002A37DE"/>
    <w:rsid w:val="002A58A6"/>
    <w:rsid w:val="002D5430"/>
    <w:rsid w:val="002D5462"/>
    <w:rsid w:val="00307E40"/>
    <w:rsid w:val="003168B8"/>
    <w:rsid w:val="00323734"/>
    <w:rsid w:val="00323C68"/>
    <w:rsid w:val="0035734A"/>
    <w:rsid w:val="00374B18"/>
    <w:rsid w:val="00376C9E"/>
    <w:rsid w:val="003776B4"/>
    <w:rsid w:val="00392EF2"/>
    <w:rsid w:val="0039756C"/>
    <w:rsid w:val="00397883"/>
    <w:rsid w:val="00397989"/>
    <w:rsid w:val="003A17E4"/>
    <w:rsid w:val="003C285D"/>
    <w:rsid w:val="003D631E"/>
    <w:rsid w:val="003E054D"/>
    <w:rsid w:val="003E74FA"/>
    <w:rsid w:val="00410641"/>
    <w:rsid w:val="0041121B"/>
    <w:rsid w:val="004177C1"/>
    <w:rsid w:val="00462EDA"/>
    <w:rsid w:val="0046567F"/>
    <w:rsid w:val="00471C8B"/>
    <w:rsid w:val="00472434"/>
    <w:rsid w:val="004B29EB"/>
    <w:rsid w:val="004C5B7C"/>
    <w:rsid w:val="004E69A2"/>
    <w:rsid w:val="00560FAF"/>
    <w:rsid w:val="00561BCA"/>
    <w:rsid w:val="005A31F1"/>
    <w:rsid w:val="005A59D3"/>
    <w:rsid w:val="005D17B1"/>
    <w:rsid w:val="005D2534"/>
    <w:rsid w:val="005D40E8"/>
    <w:rsid w:val="005F4E16"/>
    <w:rsid w:val="00620855"/>
    <w:rsid w:val="006265F2"/>
    <w:rsid w:val="00631ECD"/>
    <w:rsid w:val="006350BF"/>
    <w:rsid w:val="00637CB0"/>
    <w:rsid w:val="006975BB"/>
    <w:rsid w:val="006A180F"/>
    <w:rsid w:val="006E1444"/>
    <w:rsid w:val="006F6F16"/>
    <w:rsid w:val="00702E0F"/>
    <w:rsid w:val="00724E1E"/>
    <w:rsid w:val="007406B4"/>
    <w:rsid w:val="00760688"/>
    <w:rsid w:val="00773F71"/>
    <w:rsid w:val="007908D4"/>
    <w:rsid w:val="007B11F6"/>
    <w:rsid w:val="007C36B3"/>
    <w:rsid w:val="007D1CE2"/>
    <w:rsid w:val="007E48F7"/>
    <w:rsid w:val="0082305B"/>
    <w:rsid w:val="00841941"/>
    <w:rsid w:val="00841CF8"/>
    <w:rsid w:val="008514F4"/>
    <w:rsid w:val="00856CE0"/>
    <w:rsid w:val="00860B7E"/>
    <w:rsid w:val="00884A70"/>
    <w:rsid w:val="008A62E1"/>
    <w:rsid w:val="008A73DD"/>
    <w:rsid w:val="008C47F1"/>
    <w:rsid w:val="008E5DBA"/>
    <w:rsid w:val="008F0000"/>
    <w:rsid w:val="008F184F"/>
    <w:rsid w:val="008F463B"/>
    <w:rsid w:val="008F653D"/>
    <w:rsid w:val="008F6814"/>
    <w:rsid w:val="00901D2D"/>
    <w:rsid w:val="00903251"/>
    <w:rsid w:val="00916703"/>
    <w:rsid w:val="0094209B"/>
    <w:rsid w:val="009620B0"/>
    <w:rsid w:val="00964728"/>
    <w:rsid w:val="00966B24"/>
    <w:rsid w:val="00972135"/>
    <w:rsid w:val="0097603B"/>
    <w:rsid w:val="00994ECD"/>
    <w:rsid w:val="009B49ED"/>
    <w:rsid w:val="009D1522"/>
    <w:rsid w:val="009E75A0"/>
    <w:rsid w:val="009F3939"/>
    <w:rsid w:val="009F4FD9"/>
    <w:rsid w:val="00A1395F"/>
    <w:rsid w:val="00A4351A"/>
    <w:rsid w:val="00A600BE"/>
    <w:rsid w:val="00A615D7"/>
    <w:rsid w:val="00A74894"/>
    <w:rsid w:val="00A7624C"/>
    <w:rsid w:val="00A83939"/>
    <w:rsid w:val="00A944DE"/>
    <w:rsid w:val="00A974EF"/>
    <w:rsid w:val="00AB3864"/>
    <w:rsid w:val="00AD4D63"/>
    <w:rsid w:val="00AF295B"/>
    <w:rsid w:val="00B2637C"/>
    <w:rsid w:val="00B37D0E"/>
    <w:rsid w:val="00B8078F"/>
    <w:rsid w:val="00B924FA"/>
    <w:rsid w:val="00BA5973"/>
    <w:rsid w:val="00BF001A"/>
    <w:rsid w:val="00BF794A"/>
    <w:rsid w:val="00C035D5"/>
    <w:rsid w:val="00C33B7F"/>
    <w:rsid w:val="00C873B4"/>
    <w:rsid w:val="00C91C06"/>
    <w:rsid w:val="00C96A60"/>
    <w:rsid w:val="00CA15A9"/>
    <w:rsid w:val="00CB68F1"/>
    <w:rsid w:val="00CD572F"/>
    <w:rsid w:val="00CD5C20"/>
    <w:rsid w:val="00CF6A04"/>
    <w:rsid w:val="00D1641E"/>
    <w:rsid w:val="00D35634"/>
    <w:rsid w:val="00D62630"/>
    <w:rsid w:val="00D65A5B"/>
    <w:rsid w:val="00D673B8"/>
    <w:rsid w:val="00D802CA"/>
    <w:rsid w:val="00D8563F"/>
    <w:rsid w:val="00DA12A0"/>
    <w:rsid w:val="00DC19BA"/>
    <w:rsid w:val="00DC2155"/>
    <w:rsid w:val="00DD38BF"/>
    <w:rsid w:val="00DE70CB"/>
    <w:rsid w:val="00E1225C"/>
    <w:rsid w:val="00E444FF"/>
    <w:rsid w:val="00E552F5"/>
    <w:rsid w:val="00E711C4"/>
    <w:rsid w:val="00EF127B"/>
    <w:rsid w:val="00F02886"/>
    <w:rsid w:val="00F041F5"/>
    <w:rsid w:val="00F32736"/>
    <w:rsid w:val="00F32E8F"/>
    <w:rsid w:val="00F41C69"/>
    <w:rsid w:val="00F43A2F"/>
    <w:rsid w:val="00F4416E"/>
    <w:rsid w:val="00F73297"/>
    <w:rsid w:val="00F840D9"/>
    <w:rsid w:val="00FA39EF"/>
    <w:rsid w:val="00FA7127"/>
    <w:rsid w:val="00FB29D2"/>
    <w:rsid w:val="00FC2ABF"/>
    <w:rsid w:val="00FF4EE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990114B"/>
  <w15:chartTrackingRefBased/>
  <w15:docId w15:val="{E317AB9E-5F52-4E7A-9D79-86C7DBFF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Miriam"/>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noProof/>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overflowPunct w:val="0"/>
      <w:autoSpaceDE w:val="0"/>
      <w:autoSpaceDN w:val="0"/>
      <w:adjustRightInd w:val="0"/>
      <w:textAlignment w:val="baseline"/>
    </w:pPr>
    <w:rPr>
      <w:rFonts w:cs="FrankRuehl"/>
      <w:noProof w:val="0"/>
      <w:szCs w:val="24"/>
    </w:rPr>
  </w:style>
  <w:style w:type="paragraph" w:styleId="Footer">
    <w:name w:val="footer"/>
    <w:basedOn w:val="Normal"/>
    <w:pPr>
      <w:tabs>
        <w:tab w:val="center" w:pos="4153"/>
        <w:tab w:val="right" w:pos="8306"/>
      </w:tabs>
      <w:overflowPunct w:val="0"/>
      <w:autoSpaceDE w:val="0"/>
      <w:autoSpaceDN w:val="0"/>
      <w:adjustRightInd w:val="0"/>
      <w:textAlignment w:val="baseline"/>
    </w:pPr>
    <w:rPr>
      <w:rFonts w:cs="FrankRuehl"/>
      <w:noProof w:val="0"/>
      <w:szCs w:val="24"/>
    </w:rPr>
  </w:style>
  <w:style w:type="character" w:styleId="PageNumber">
    <w:name w:val="page number"/>
    <w:basedOn w:val="DefaultParagraphFont"/>
  </w:style>
  <w:style w:type="paragraph" w:customStyle="1" w:styleId="2">
    <w:name w:val="כותרת_רצה_עליונה2"/>
    <w:basedOn w:val="Header"/>
    <w:pPr>
      <w:tabs>
        <w:tab w:val="clear" w:pos="4153"/>
        <w:tab w:val="clear" w:pos="8306"/>
        <w:tab w:val="right" w:pos="6521"/>
        <w:tab w:val="center" w:pos="9498"/>
      </w:tabs>
      <w:spacing w:before="40"/>
      <w:jc w:val="right"/>
    </w:pPr>
    <w:rPr>
      <w:rFonts w:cs="Miriam"/>
      <w:szCs w:val="20"/>
    </w:rPr>
  </w:style>
  <w:style w:type="paragraph" w:customStyle="1" w:styleId="a">
    <w:name w:val="כללי"/>
    <w:basedOn w:val="Normal"/>
    <w:rsid w:val="009F3939"/>
    <w:pPr>
      <w:overflowPunct w:val="0"/>
      <w:autoSpaceDE w:val="0"/>
      <w:autoSpaceDN w:val="0"/>
      <w:adjustRightInd w:val="0"/>
      <w:spacing w:after="240" w:line="278" w:lineRule="exact"/>
      <w:ind w:firstLine="284"/>
      <w:jc w:val="both"/>
      <w:textAlignment w:val="baseline"/>
    </w:pPr>
    <w:rPr>
      <w:rFonts w:cs="FrankRuehl"/>
      <w:noProof w:val="0"/>
      <w:szCs w:val="24"/>
    </w:rPr>
  </w:style>
  <w:style w:type="paragraph" w:customStyle="1" w:styleId="-1">
    <w:name w:val="נגד-1"/>
    <w:basedOn w:val="a"/>
    <w:pPr>
      <w:spacing w:after="100" w:line="240" w:lineRule="exact"/>
      <w:ind w:firstLine="0"/>
    </w:pPr>
    <w:rPr>
      <w:sz w:val="22"/>
      <w:szCs w:val="28"/>
    </w:rPr>
  </w:style>
  <w:style w:type="paragraph" w:customStyle="1" w:styleId="-10">
    <w:name w:val="כותרת-1"/>
    <w:basedOn w:val="a"/>
    <w:pPr>
      <w:spacing w:after="120"/>
      <w:ind w:firstLine="0"/>
      <w:jc w:val="center"/>
    </w:pPr>
  </w:style>
  <w:style w:type="paragraph" w:customStyle="1" w:styleId="-">
    <w:name w:val="פסק-דין"/>
    <w:basedOn w:val="a"/>
    <w:pPr>
      <w:spacing w:after="0"/>
      <w:jc w:val="center"/>
    </w:pPr>
    <w:rPr>
      <w:rFonts w:ascii="Arial" w:hAnsi="Arial"/>
      <w:b/>
      <w:szCs w:val="28"/>
      <w:u w:val="single"/>
    </w:rPr>
  </w:style>
  <w:style w:type="paragraph" w:customStyle="1" w:styleId="1">
    <w:name w:val="כניסה1"/>
    <w:basedOn w:val="Normal"/>
    <w:pPr>
      <w:tabs>
        <w:tab w:val="left" w:pos="340"/>
        <w:tab w:val="left" w:pos="680"/>
      </w:tabs>
      <w:overflowPunct w:val="0"/>
      <w:autoSpaceDE w:val="0"/>
      <w:autoSpaceDN w:val="0"/>
      <w:adjustRightInd w:val="0"/>
      <w:spacing w:line="250" w:lineRule="exact"/>
      <w:ind w:left="680" w:hanging="680"/>
      <w:jc w:val="both"/>
      <w:textAlignment w:val="baseline"/>
    </w:pPr>
    <w:rPr>
      <w:rFonts w:cs="FrankRuehl"/>
      <w:noProof w:val="0"/>
      <w:sz w:val="18"/>
      <w:szCs w:val="22"/>
    </w:rPr>
  </w:style>
  <w:style w:type="paragraph" w:customStyle="1" w:styleId="a0">
    <w:name w:val="תקציר"/>
    <w:basedOn w:val="1"/>
    <w:pPr>
      <w:ind w:left="0" w:firstLine="284"/>
    </w:pPr>
  </w:style>
  <w:style w:type="paragraph" w:customStyle="1" w:styleId="a1">
    <w:name w:val="אזכורים"/>
    <w:basedOn w:val="a"/>
    <w:pPr>
      <w:tabs>
        <w:tab w:val="left" w:pos="567"/>
      </w:tabs>
      <w:spacing w:after="40" w:line="270" w:lineRule="exact"/>
      <w:ind w:left="567" w:hanging="567"/>
    </w:pPr>
  </w:style>
  <w:style w:type="paragraph" w:customStyle="1" w:styleId="a2">
    <w:name w:val="שםשופט"/>
    <w:basedOn w:val="a"/>
    <w:rPr>
      <w:rFonts w:ascii="Arial" w:hAnsi="Arial" w:cs="Miriam"/>
    </w:rPr>
  </w:style>
  <w:style w:type="paragraph" w:customStyle="1" w:styleId="a3">
    <w:name w:val="מספר הליך"/>
    <w:basedOn w:val="a"/>
    <w:pPr>
      <w:jc w:val="right"/>
    </w:pPr>
    <w:rPr>
      <w:szCs w:val="28"/>
    </w:rPr>
  </w:style>
  <w:style w:type="paragraph" w:customStyle="1" w:styleId="a4">
    <w:name w:val="ציטוט"/>
    <w:basedOn w:val="a"/>
    <w:link w:val="a5"/>
    <w:qFormat/>
    <w:rsid w:val="005D2534"/>
    <w:pPr>
      <w:ind w:left="454" w:right="454" w:firstLine="0"/>
    </w:pPr>
  </w:style>
  <w:style w:type="paragraph" w:customStyle="1" w:styleId="ENG">
    <w:name w:val="ציטוטENG"/>
    <w:basedOn w:val="a"/>
    <w:rsid w:val="005D2534"/>
    <w:pPr>
      <w:bidi w:val="0"/>
      <w:ind w:left="454" w:right="454" w:firstLine="0"/>
    </w:pPr>
  </w:style>
  <w:style w:type="paragraph" w:customStyle="1" w:styleId="4">
    <w:name w:val="סרגל4"/>
    <w:basedOn w:val="Normal"/>
    <w:rsid w:val="00A600BE"/>
    <w:pPr>
      <w:tabs>
        <w:tab w:val="left" w:pos="800"/>
      </w:tabs>
      <w:overflowPunct w:val="0"/>
      <w:autoSpaceDE w:val="0"/>
      <w:autoSpaceDN w:val="0"/>
      <w:adjustRightInd w:val="0"/>
      <w:spacing w:line="480" w:lineRule="auto"/>
      <w:jc w:val="both"/>
      <w:textAlignment w:val="baseline"/>
    </w:pPr>
    <w:rPr>
      <w:rFonts w:ascii="Arial TUR" w:hAnsi="Arial TUR" w:cs="Times New Roman"/>
      <w:noProof w:val="0"/>
      <w:sz w:val="22"/>
    </w:rPr>
  </w:style>
  <w:style w:type="paragraph" w:customStyle="1" w:styleId="5">
    <w:name w:val="סרגל5"/>
    <w:basedOn w:val="Normal"/>
    <w:rsid w:val="00A600BE"/>
    <w:pPr>
      <w:overflowPunct w:val="0"/>
      <w:autoSpaceDE w:val="0"/>
      <w:autoSpaceDN w:val="0"/>
      <w:adjustRightInd w:val="0"/>
      <w:ind w:left="1644" w:right="1276"/>
      <w:jc w:val="both"/>
      <w:textAlignment w:val="baseline"/>
    </w:pPr>
    <w:rPr>
      <w:rFonts w:ascii="Arial TUR" w:hAnsi="Arial TUR" w:cs="Times New Roman"/>
      <w:noProof w:val="0"/>
      <w:sz w:val="22"/>
    </w:rPr>
  </w:style>
  <w:style w:type="paragraph" w:customStyle="1" w:styleId="Ruller4">
    <w:name w:val="Ruller4"/>
    <w:basedOn w:val="Normal"/>
    <w:link w:val="Ruller40"/>
    <w:rsid w:val="00F4416E"/>
    <w:pPr>
      <w:tabs>
        <w:tab w:val="left" w:pos="800"/>
      </w:tabs>
      <w:overflowPunct w:val="0"/>
      <w:autoSpaceDE w:val="0"/>
      <w:autoSpaceDN w:val="0"/>
      <w:adjustRightInd w:val="0"/>
      <w:spacing w:line="360" w:lineRule="auto"/>
      <w:jc w:val="both"/>
      <w:textAlignment w:val="baseline"/>
    </w:pPr>
    <w:rPr>
      <w:rFonts w:ascii="Arial TUR" w:hAnsi="Arial TUR" w:cs="FrankRuehl"/>
      <w:noProof w:val="0"/>
      <w:spacing w:val="10"/>
      <w:sz w:val="22"/>
      <w:szCs w:val="28"/>
      <w:lang w:eastAsia="en-US"/>
    </w:rPr>
  </w:style>
  <w:style w:type="paragraph" w:customStyle="1" w:styleId="Ruller5">
    <w:name w:val="Ruller5"/>
    <w:basedOn w:val="Normal"/>
    <w:link w:val="Ruller50"/>
    <w:rsid w:val="00F4416E"/>
    <w:pPr>
      <w:overflowPunct w:val="0"/>
      <w:autoSpaceDE w:val="0"/>
      <w:autoSpaceDN w:val="0"/>
      <w:adjustRightInd w:val="0"/>
      <w:ind w:left="1642" w:right="1282"/>
      <w:jc w:val="both"/>
      <w:textAlignment w:val="baseline"/>
    </w:pPr>
    <w:rPr>
      <w:rFonts w:ascii="Arial TUR" w:hAnsi="Arial TUR" w:cs="FrankRuehl"/>
      <w:noProof w:val="0"/>
      <w:spacing w:val="10"/>
      <w:sz w:val="22"/>
      <w:szCs w:val="28"/>
      <w:lang w:eastAsia="en-US"/>
    </w:rPr>
  </w:style>
  <w:style w:type="paragraph" w:customStyle="1" w:styleId="Ruller3">
    <w:name w:val="Ruller 3"/>
    <w:basedOn w:val="Normal"/>
    <w:rsid w:val="00F4416E"/>
    <w:pPr>
      <w:tabs>
        <w:tab w:val="left" w:pos="3210"/>
        <w:tab w:val="left" w:pos="6753"/>
      </w:tabs>
      <w:overflowPunct w:val="0"/>
      <w:autoSpaceDE w:val="0"/>
      <w:autoSpaceDN w:val="0"/>
      <w:adjustRightInd w:val="0"/>
      <w:spacing w:line="360" w:lineRule="auto"/>
      <w:textAlignment w:val="baseline"/>
    </w:pPr>
    <w:rPr>
      <w:rFonts w:cs="FrankRuehl"/>
      <w:noProof w:val="0"/>
      <w:spacing w:val="10"/>
      <w:sz w:val="22"/>
      <w:szCs w:val="28"/>
      <w:lang w:eastAsia="en-US"/>
    </w:rPr>
  </w:style>
  <w:style w:type="paragraph" w:customStyle="1" w:styleId="BodyRuller">
    <w:name w:val="Body Ruller"/>
    <w:basedOn w:val="Normal"/>
    <w:rsid w:val="00F4416E"/>
    <w:pPr>
      <w:overflowPunct w:val="0"/>
      <w:autoSpaceDE w:val="0"/>
      <w:autoSpaceDN w:val="0"/>
      <w:adjustRightInd w:val="0"/>
      <w:textAlignment w:val="baseline"/>
    </w:pPr>
    <w:rPr>
      <w:rFonts w:cs="David"/>
      <w:noProof w:val="0"/>
      <w:sz w:val="22"/>
      <w:szCs w:val="28"/>
      <w:lang w:eastAsia="en-US"/>
    </w:rPr>
  </w:style>
  <w:style w:type="character" w:customStyle="1" w:styleId="a5">
    <w:name w:val="ציטוט תו"/>
    <w:link w:val="a4"/>
    <w:rsid w:val="008F463B"/>
    <w:rPr>
      <w:rFonts w:cs="FrankRuehl"/>
      <w:szCs w:val="24"/>
      <w:lang w:val="en-US" w:eastAsia="he-IL" w:bidi="he-IL"/>
    </w:rPr>
  </w:style>
  <w:style w:type="character" w:customStyle="1" w:styleId="default">
    <w:name w:val="default"/>
    <w:rsid w:val="008F463B"/>
    <w:rPr>
      <w:rFonts w:ascii="Times New Roman" w:hAnsi="Times New Roman" w:cs="Times New Roman"/>
      <w:sz w:val="26"/>
      <w:szCs w:val="26"/>
    </w:rPr>
  </w:style>
  <w:style w:type="table" w:styleId="TableGrid">
    <w:name w:val="Table Grid"/>
    <w:basedOn w:val="TableNormal"/>
    <w:rsid w:val="008F463B"/>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kdinhead">
    <w:name w:val="Pskdin head"/>
    <w:basedOn w:val="Normal"/>
    <w:rsid w:val="006A180F"/>
    <w:pPr>
      <w:overflowPunct w:val="0"/>
      <w:autoSpaceDE w:val="0"/>
      <w:autoSpaceDN w:val="0"/>
      <w:adjustRightInd w:val="0"/>
      <w:spacing w:line="360" w:lineRule="auto"/>
      <w:textAlignment w:val="baseline"/>
    </w:pPr>
    <w:rPr>
      <w:rFonts w:cs="David"/>
      <w:b/>
      <w:bCs/>
      <w:noProof w:val="0"/>
      <w:szCs w:val="24"/>
      <w:u w:val="single"/>
      <w:lang w:eastAsia="en-US"/>
    </w:rPr>
  </w:style>
  <w:style w:type="paragraph" w:customStyle="1" w:styleId="FileNumber">
    <w:name w:val="File Number"/>
    <w:basedOn w:val="Normal"/>
    <w:rsid w:val="006A180F"/>
    <w:pPr>
      <w:overflowPunct w:val="0"/>
      <w:autoSpaceDE w:val="0"/>
      <w:autoSpaceDN w:val="0"/>
      <w:adjustRightInd w:val="0"/>
      <w:spacing w:line="360" w:lineRule="auto"/>
      <w:jc w:val="right"/>
      <w:textAlignment w:val="baseline"/>
    </w:pPr>
    <w:rPr>
      <w:rFonts w:cs="David"/>
      <w:bCs/>
      <w:noProof w:val="0"/>
      <w:szCs w:val="24"/>
      <w:lang w:eastAsia="en-US"/>
    </w:rPr>
  </w:style>
  <w:style w:type="paragraph" w:customStyle="1" w:styleId="FirstpagestylePsakdin">
    <w:name w:val="First page style Psak din"/>
    <w:basedOn w:val="Ruller3"/>
    <w:rsid w:val="006A180F"/>
    <w:pPr>
      <w:tabs>
        <w:tab w:val="clear" w:pos="3210"/>
        <w:tab w:val="left" w:pos="3209"/>
      </w:tabs>
    </w:pPr>
    <w:rPr>
      <w:bCs/>
    </w:rPr>
  </w:style>
  <w:style w:type="paragraph" w:customStyle="1" w:styleId="TyutaDate">
    <w:name w:val="Tyuta Date"/>
    <w:basedOn w:val="Normal"/>
    <w:rsid w:val="006A180F"/>
    <w:pPr>
      <w:overflowPunct w:val="0"/>
      <w:autoSpaceDE w:val="0"/>
      <w:autoSpaceDN w:val="0"/>
      <w:adjustRightInd w:val="0"/>
      <w:jc w:val="center"/>
      <w:textAlignment w:val="baseline"/>
    </w:pPr>
    <w:rPr>
      <w:rFonts w:cs="David"/>
      <w:b/>
      <w:bCs/>
      <w:i/>
      <w:iCs/>
      <w:noProof w:val="0"/>
      <w:sz w:val="28"/>
      <w:szCs w:val="28"/>
      <w:lang w:eastAsia="en-US"/>
    </w:rPr>
  </w:style>
  <w:style w:type="paragraph" w:customStyle="1" w:styleId="DocumentHead">
    <w:name w:val="Document Head"/>
    <w:basedOn w:val="Normal"/>
    <w:rsid w:val="006A180F"/>
    <w:pPr>
      <w:overflowPunct w:val="0"/>
      <w:autoSpaceDE w:val="0"/>
      <w:autoSpaceDN w:val="0"/>
      <w:adjustRightInd w:val="0"/>
      <w:spacing w:line="360" w:lineRule="auto"/>
      <w:jc w:val="center"/>
      <w:textAlignment w:val="baseline"/>
    </w:pPr>
    <w:rPr>
      <w:rFonts w:cs="David"/>
      <w:bCs/>
      <w:noProof w:val="0"/>
      <w:spacing w:val="30"/>
      <w:szCs w:val="28"/>
      <w:u w:val="single"/>
      <w:lang w:eastAsia="en-US"/>
    </w:rPr>
  </w:style>
  <w:style w:type="paragraph" w:customStyle="1" w:styleId="TfutzaList">
    <w:name w:val="Tfutza List"/>
    <w:basedOn w:val="Normal"/>
    <w:rsid w:val="006A180F"/>
    <w:pPr>
      <w:overflowPunct w:val="0"/>
      <w:autoSpaceDE w:val="0"/>
      <w:autoSpaceDN w:val="0"/>
      <w:adjustRightInd w:val="0"/>
      <w:textAlignment w:val="baseline"/>
    </w:pPr>
    <w:rPr>
      <w:rFonts w:cs="David"/>
      <w:i/>
      <w:iCs/>
      <w:noProof w:val="0"/>
      <w:szCs w:val="24"/>
      <w:lang w:eastAsia="en-US"/>
    </w:rPr>
  </w:style>
  <w:style w:type="character" w:customStyle="1" w:styleId="Ruller40">
    <w:name w:val="Ruller4 תו"/>
    <w:link w:val="Ruller4"/>
    <w:rsid w:val="006A180F"/>
    <w:rPr>
      <w:rFonts w:ascii="Arial TUR" w:hAnsi="Arial TUR" w:cs="FrankRuehl"/>
      <w:spacing w:val="10"/>
      <w:sz w:val="22"/>
      <w:szCs w:val="28"/>
      <w:lang w:val="en-US" w:eastAsia="en-US" w:bidi="he-IL"/>
    </w:rPr>
  </w:style>
  <w:style w:type="character" w:customStyle="1" w:styleId="Ruller50">
    <w:name w:val="Ruller5 תו"/>
    <w:link w:val="Ruller5"/>
    <w:rsid w:val="006A180F"/>
    <w:rPr>
      <w:rFonts w:ascii="Arial TUR" w:hAnsi="Arial TUR" w:cs="FrankRuehl"/>
      <w:spacing w:val="10"/>
      <w:sz w:val="22"/>
      <w:szCs w:val="28"/>
      <w:lang w:val="en-US" w:eastAsia="en-US" w:bidi="he-IL"/>
    </w:rPr>
  </w:style>
  <w:style w:type="paragraph" w:customStyle="1" w:styleId="Ruller6">
    <w:name w:val="Ruller6"/>
    <w:basedOn w:val="Normal"/>
    <w:rsid w:val="006A180F"/>
    <w:pPr>
      <w:tabs>
        <w:tab w:val="left" w:pos="794"/>
        <w:tab w:val="left" w:pos="2268"/>
        <w:tab w:val="left" w:pos="5783"/>
        <w:tab w:val="left" w:pos="7371"/>
      </w:tabs>
      <w:overflowPunct w:val="0"/>
      <w:autoSpaceDE w:val="0"/>
      <w:autoSpaceDN w:val="0"/>
      <w:adjustRightInd w:val="0"/>
      <w:textAlignment w:val="baseline"/>
    </w:pPr>
    <w:rPr>
      <w:rFonts w:ascii="Arial TUR" w:hAnsi="Arial TUR" w:cs="DavidFix"/>
      <w:noProof w:val="0"/>
      <w:spacing w:val="10"/>
      <w:sz w:val="22"/>
      <w:lang w:eastAsia="en-US"/>
    </w:rPr>
  </w:style>
  <w:style w:type="character" w:customStyle="1" w:styleId="Delete">
    <w:name w:val="Delete"/>
    <w:rsid w:val="006A180F"/>
    <w:rPr>
      <w:strike/>
    </w:rPr>
  </w:style>
  <w:style w:type="paragraph" w:customStyle="1" w:styleId="WriterName">
    <w:name w:val="Writer Name"/>
    <w:basedOn w:val="Ruller4"/>
    <w:next w:val="Ruller4"/>
    <w:rsid w:val="006A180F"/>
    <w:rPr>
      <w:rFonts w:cs="David"/>
      <w:b/>
      <w:bCs/>
      <w:u w:val="single"/>
    </w:rPr>
  </w:style>
  <w:style w:type="character" w:customStyle="1" w:styleId="Hand">
    <w:name w:val="Hand"/>
    <w:rsid w:val="006A180F"/>
    <w:rPr>
      <w:rFonts w:cs="Guttman Yad"/>
    </w:rPr>
  </w:style>
  <w:style w:type="paragraph" w:customStyle="1" w:styleId="20">
    <w:name w:val="ñâðåï2"/>
    <w:basedOn w:val="Normal"/>
    <w:rsid w:val="006A180F"/>
    <w:pPr>
      <w:autoSpaceDE w:val="0"/>
      <w:autoSpaceDN w:val="0"/>
      <w:adjustRightInd w:val="0"/>
    </w:pPr>
    <w:rPr>
      <w:rFonts w:cs="Times New Roman"/>
      <w:noProof w:val="0"/>
      <w:szCs w:val="24"/>
      <w:lang w:eastAsia="en-US"/>
    </w:rPr>
  </w:style>
  <w:style w:type="paragraph" w:customStyle="1" w:styleId="Casenameintextbody">
    <w:name w:val="Case name in text body"/>
    <w:basedOn w:val="Normal"/>
    <w:rsid w:val="006A180F"/>
    <w:pPr>
      <w:autoSpaceDE w:val="0"/>
      <w:autoSpaceDN w:val="0"/>
      <w:adjustRightInd w:val="0"/>
      <w:jc w:val="right"/>
    </w:pPr>
    <w:rPr>
      <w:rFonts w:cs="Times New Roman"/>
      <w:b/>
      <w:bCs/>
      <w:noProof w:val="0"/>
      <w:szCs w:val="24"/>
      <w:u w:val="single"/>
      <w:lang w:eastAsia="en-US"/>
    </w:rPr>
  </w:style>
  <w:style w:type="paragraph" w:customStyle="1" w:styleId="precasestyle">
    <w:name w:val="pre_case style"/>
    <w:basedOn w:val="Normal"/>
    <w:rsid w:val="006A180F"/>
    <w:pPr>
      <w:tabs>
        <w:tab w:val="left" w:pos="2552"/>
      </w:tabs>
      <w:autoSpaceDE w:val="0"/>
      <w:autoSpaceDN w:val="0"/>
      <w:adjustRightInd w:val="0"/>
      <w:ind w:right="2549"/>
    </w:pPr>
    <w:rPr>
      <w:rFonts w:cs="Times New Roman"/>
      <w:noProof w:val="0"/>
      <w:szCs w:val="24"/>
      <w:lang w:eastAsia="en-US"/>
    </w:rPr>
  </w:style>
  <w:style w:type="paragraph" w:customStyle="1" w:styleId="Ruller38">
    <w:name w:val="סגנון Ruller 3 + (מורכב) ‏8 נק"/>
    <w:basedOn w:val="BodyRuller"/>
    <w:rsid w:val="006A180F"/>
    <w:rPr>
      <w:szCs w:val="16"/>
    </w:rPr>
  </w:style>
  <w:style w:type="character" w:customStyle="1" w:styleId="Ruller30">
    <w:name w:val="Ruller 3 תו"/>
    <w:rsid w:val="006A180F"/>
    <w:rPr>
      <w:rFonts w:cs="FrankRuehl"/>
      <w:sz w:val="22"/>
      <w:szCs w:val="28"/>
      <w:lang w:val="en-US" w:eastAsia="en-US" w:bidi="he-IL"/>
    </w:rPr>
  </w:style>
  <w:style w:type="character" w:customStyle="1" w:styleId="BodyRuller0">
    <w:name w:val="Body Ruller תו"/>
    <w:rsid w:val="006A180F"/>
    <w:rPr>
      <w:rFonts w:cs="David"/>
      <w:sz w:val="22"/>
      <w:szCs w:val="28"/>
      <w:lang w:val="en-US" w:eastAsia="en-US" w:bidi="he-IL"/>
    </w:rPr>
  </w:style>
  <w:style w:type="character" w:customStyle="1" w:styleId="Ruller380">
    <w:name w:val="סגנון Ruller 3 + (מורכב) ‏8 נק תו"/>
    <w:rsid w:val="006A180F"/>
    <w:rPr>
      <w:rFonts w:cs="David"/>
      <w:sz w:val="22"/>
      <w:szCs w:val="16"/>
      <w:lang w:val="en-US" w:eastAsia="en-US" w:bidi="he-IL"/>
    </w:rPr>
  </w:style>
  <w:style w:type="paragraph" w:customStyle="1" w:styleId="FileNumber0">
    <w:name w:val="סגנון File Number + ימין"/>
    <w:basedOn w:val="FileNumber"/>
    <w:rsid w:val="006A180F"/>
    <w:pPr>
      <w:jc w:val="left"/>
    </w:pPr>
    <w:rPr>
      <w:szCs w:val="28"/>
    </w:rPr>
  </w:style>
  <w:style w:type="paragraph" w:customStyle="1" w:styleId="BODYVERDICT">
    <w:name w:val="BODY VERDICT"/>
    <w:basedOn w:val="Normal"/>
    <w:rsid w:val="006A180F"/>
    <w:pPr>
      <w:overflowPunct w:val="0"/>
      <w:autoSpaceDE w:val="0"/>
      <w:autoSpaceDN w:val="0"/>
      <w:adjustRightInd w:val="0"/>
      <w:textAlignment w:val="baseline"/>
    </w:pPr>
    <w:rPr>
      <w:rFonts w:cs="FrankRuehl"/>
      <w:noProof w:val="0"/>
      <w:spacing w:val="10"/>
      <w:sz w:val="22"/>
      <w:szCs w:val="28"/>
      <w:lang w:eastAsia="en-US"/>
    </w:rPr>
  </w:style>
  <w:style w:type="character" w:styleId="Hyperlink">
    <w:name w:val="Hyperlink"/>
    <w:rsid w:val="006A180F"/>
    <w:rPr>
      <w:color w:val="0000FF"/>
      <w:u w:val="single"/>
    </w:rPr>
  </w:style>
  <w:style w:type="paragraph" w:styleId="BalloonText">
    <w:name w:val="Balloon Text"/>
    <w:basedOn w:val="Normal"/>
    <w:semiHidden/>
    <w:rsid w:val="006A180F"/>
    <w:pPr>
      <w:overflowPunct w:val="0"/>
      <w:autoSpaceDE w:val="0"/>
      <w:autoSpaceDN w:val="0"/>
      <w:adjustRightInd w:val="0"/>
      <w:textAlignment w:val="baseline"/>
    </w:pPr>
    <w:rPr>
      <w:rFonts w:ascii="Tahoma" w:hAnsi="Tahoma" w:cs="Tahoma"/>
      <w:noProof w:val="0"/>
      <w:sz w:val="16"/>
      <w:szCs w:val="16"/>
      <w:lang w:eastAsia="en-US"/>
    </w:rPr>
  </w:style>
  <w:style w:type="character" w:styleId="CommentReference">
    <w:name w:val="annotation reference"/>
    <w:semiHidden/>
    <w:rsid w:val="006A180F"/>
    <w:rPr>
      <w:sz w:val="16"/>
      <w:szCs w:val="16"/>
    </w:rPr>
  </w:style>
  <w:style w:type="paragraph" w:styleId="CommentText">
    <w:name w:val="annotation text"/>
    <w:basedOn w:val="Normal"/>
    <w:semiHidden/>
    <w:rsid w:val="006A180F"/>
    <w:pPr>
      <w:overflowPunct w:val="0"/>
      <w:autoSpaceDE w:val="0"/>
      <w:autoSpaceDN w:val="0"/>
      <w:adjustRightInd w:val="0"/>
      <w:textAlignment w:val="baseline"/>
    </w:pPr>
    <w:rPr>
      <w:rFonts w:cs="David"/>
      <w:noProof w:val="0"/>
      <w:lang w:eastAsia="en-US"/>
    </w:rPr>
  </w:style>
  <w:style w:type="paragraph" w:styleId="CommentSubject">
    <w:name w:val="annotation subject"/>
    <w:basedOn w:val="CommentText"/>
    <w:next w:val="CommentText"/>
    <w:semiHidden/>
    <w:rsid w:val="006A180F"/>
    <w:rPr>
      <w:b/>
      <w:bCs/>
    </w:rPr>
  </w:style>
  <w:style w:type="paragraph" w:customStyle="1" w:styleId="P00">
    <w:name w:val="P00"/>
    <w:rsid w:val="00397883"/>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Times New Roman"/>
      <w:noProof/>
      <w:szCs w:val="26"/>
      <w:lang w:eastAsia="he-IL"/>
    </w:rPr>
  </w:style>
  <w:style w:type="paragraph" w:customStyle="1" w:styleId="P22">
    <w:name w:val="P22"/>
    <w:basedOn w:val="P00"/>
    <w:rsid w:val="00397883"/>
    <w:pPr>
      <w:tabs>
        <w:tab w:val="clear" w:pos="624"/>
        <w:tab w:val="clear" w:pos="1021"/>
      </w:tabs>
      <w:ind w:right="1021"/>
    </w:pPr>
  </w:style>
  <w:style w:type="character" w:customStyle="1" w:styleId="big-number">
    <w:name w:val="big-number"/>
    <w:rsid w:val="00397883"/>
    <w:rPr>
      <w:rFonts w:ascii="Times New Roman" w:hAnsi="Times New Roman" w:cs="Times New Roman"/>
      <w:sz w:val="32"/>
      <w:szCs w:val="32"/>
    </w:rPr>
  </w:style>
  <w:style w:type="character" w:styleId="FollowedHyperlink">
    <w:name w:val="FollowedHyperlink"/>
    <w:rsid w:val="005A31F1"/>
    <w:rPr>
      <w:color w:val="800080"/>
      <w:u w:val="single"/>
    </w:rPr>
  </w:style>
  <w:style w:type="character" w:customStyle="1" w:styleId="a6">
    <w:name w:val="אזכור לא מזוהה"/>
    <w:uiPriority w:val="99"/>
    <w:semiHidden/>
    <w:unhideWhenUsed/>
    <w:rsid w:val="003E7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nevo.co.il/law/71600" TargetMode="External"/><Relationship Id="rId21" Type="http://schemas.openxmlformats.org/officeDocument/2006/relationships/hyperlink" Target="http://www.nevo.co.il/law/71600/48" TargetMode="External"/><Relationship Id="rId42" Type="http://schemas.openxmlformats.org/officeDocument/2006/relationships/hyperlink" Target="http://www.nevo.co.il/law/73899" TargetMode="External"/><Relationship Id="rId63" Type="http://schemas.openxmlformats.org/officeDocument/2006/relationships/hyperlink" Target="http://www.nevo.co.il/case/6094936" TargetMode="External"/><Relationship Id="rId84" Type="http://schemas.openxmlformats.org/officeDocument/2006/relationships/hyperlink" Target="http://www.nevo.co.il/safrut/book/5505" TargetMode="External"/><Relationship Id="rId138" Type="http://schemas.openxmlformats.org/officeDocument/2006/relationships/hyperlink" Target="http://www.nevo.co.il/law/71600/2.b" TargetMode="External"/><Relationship Id="rId159" Type="http://schemas.openxmlformats.org/officeDocument/2006/relationships/hyperlink" Target="http://www.nevo.co.il/case/5762700" TargetMode="External"/><Relationship Id="rId170" Type="http://schemas.openxmlformats.org/officeDocument/2006/relationships/hyperlink" Target="http://www.nevo.co.il/safrut/book/5505" TargetMode="External"/><Relationship Id="rId191" Type="http://schemas.openxmlformats.org/officeDocument/2006/relationships/hyperlink" Target="http://www.nevo.co.il/case/5743140" TargetMode="External"/><Relationship Id="rId205" Type="http://schemas.openxmlformats.org/officeDocument/2006/relationships/hyperlink" Target="http://www.nevo.co.il/case/17923103" TargetMode="External"/><Relationship Id="rId226" Type="http://schemas.openxmlformats.org/officeDocument/2006/relationships/hyperlink" Target="http://www.nevo.co.il/law/70301/34k" TargetMode="External"/><Relationship Id="rId247" Type="http://schemas.openxmlformats.org/officeDocument/2006/relationships/hyperlink" Target="http://www.nevo.co.il/law/70301/34k" TargetMode="External"/><Relationship Id="rId107" Type="http://schemas.openxmlformats.org/officeDocument/2006/relationships/hyperlink" Target="http://www.nevo.co.il/law/71600/2.b" TargetMode="External"/><Relationship Id="rId268" Type="http://schemas.openxmlformats.org/officeDocument/2006/relationships/hyperlink" Target="http://www.nevo.co.il/law/70301/34jg" TargetMode="External"/><Relationship Id="rId11" Type="http://schemas.openxmlformats.org/officeDocument/2006/relationships/hyperlink" Target="http://www.nevo.co.il/law/71600/2" TargetMode="External"/><Relationship Id="rId32" Type="http://schemas.openxmlformats.org/officeDocument/2006/relationships/hyperlink" Target="http://www.nevo.co.il/law/73015" TargetMode="External"/><Relationship Id="rId53" Type="http://schemas.openxmlformats.org/officeDocument/2006/relationships/hyperlink" Target="http://www.nevo.co.il/case/17932079" TargetMode="External"/><Relationship Id="rId74" Type="http://schemas.openxmlformats.org/officeDocument/2006/relationships/header" Target="header2.xml"/><Relationship Id="rId128" Type="http://schemas.openxmlformats.org/officeDocument/2006/relationships/hyperlink" Target="http://www.nevo.co.il/case/17930849" TargetMode="External"/><Relationship Id="rId149" Type="http://schemas.openxmlformats.org/officeDocument/2006/relationships/hyperlink" Target="http://www.nevo.co.il/safrut/book/6889" TargetMode="External"/><Relationship Id="rId5" Type="http://schemas.openxmlformats.org/officeDocument/2006/relationships/webSettings" Target="webSettings.xml"/><Relationship Id="rId95" Type="http://schemas.openxmlformats.org/officeDocument/2006/relationships/hyperlink" Target="http://www.nevo.co.il/law/71600" TargetMode="External"/><Relationship Id="rId160" Type="http://schemas.openxmlformats.org/officeDocument/2006/relationships/hyperlink" Target="http://www.nevo.co.il/law/74903/59" TargetMode="External"/><Relationship Id="rId181" Type="http://schemas.openxmlformats.org/officeDocument/2006/relationships/hyperlink" Target="http://www.nevo.co.il/case/5857041" TargetMode="External"/><Relationship Id="rId216" Type="http://schemas.openxmlformats.org/officeDocument/2006/relationships/hyperlink" Target="http://www.nevo.co.il/law/70301/34k" TargetMode="External"/><Relationship Id="rId237" Type="http://schemas.openxmlformats.org/officeDocument/2006/relationships/hyperlink" Target="http://www.nevo.co.il/law/70301" TargetMode="External"/><Relationship Id="rId258" Type="http://schemas.openxmlformats.org/officeDocument/2006/relationships/hyperlink" Target="http://www.nevo.co.il/law/71600/2.b.3" TargetMode="External"/><Relationship Id="rId279" Type="http://schemas.openxmlformats.org/officeDocument/2006/relationships/hyperlink" Target="http://www.nevo.co.il/law/71600/2.b" TargetMode="External"/><Relationship Id="rId22" Type="http://schemas.openxmlformats.org/officeDocument/2006/relationships/hyperlink" Target="http://www.nevo.co.il/law/70301" TargetMode="External"/><Relationship Id="rId43" Type="http://schemas.openxmlformats.org/officeDocument/2006/relationships/hyperlink" Target="http://www.nevo.co.il/law/73899/14" TargetMode="External"/><Relationship Id="rId64" Type="http://schemas.openxmlformats.org/officeDocument/2006/relationships/hyperlink" Target="http://www.nevo.co.il/links/psika/?link=&#1506;&#1508;%20320/99&amp;Pvol=&#1504;&#1492;" TargetMode="External"/><Relationship Id="rId118" Type="http://schemas.openxmlformats.org/officeDocument/2006/relationships/hyperlink" Target="http://www.nevo.co.il/law/70301/34jg" TargetMode="External"/><Relationship Id="rId139" Type="http://schemas.openxmlformats.org/officeDocument/2006/relationships/hyperlink" Target="http://www.nevo.co.il/law/71600" TargetMode="External"/><Relationship Id="rId85" Type="http://schemas.openxmlformats.org/officeDocument/2006/relationships/hyperlink" Target="http://www.nevo.co.il/law/70301" TargetMode="External"/><Relationship Id="rId150" Type="http://schemas.openxmlformats.org/officeDocument/2006/relationships/hyperlink" Target="http://www.nevo.co.il/law/71600/2.b" TargetMode="External"/><Relationship Id="rId171" Type="http://schemas.openxmlformats.org/officeDocument/2006/relationships/hyperlink" Target="http://www.nevo.co.il/law/70301" TargetMode="External"/><Relationship Id="rId192" Type="http://schemas.openxmlformats.org/officeDocument/2006/relationships/hyperlink" Target="http://www.nevo.co.il/case/5876175" TargetMode="External"/><Relationship Id="rId206" Type="http://schemas.openxmlformats.org/officeDocument/2006/relationships/hyperlink" Target="http://www.nevo.co.il/case/6094936" TargetMode="External"/><Relationship Id="rId227" Type="http://schemas.openxmlformats.org/officeDocument/2006/relationships/hyperlink" Target="http://www.nevo.co.il/law/70301" TargetMode="External"/><Relationship Id="rId248" Type="http://schemas.openxmlformats.org/officeDocument/2006/relationships/hyperlink" Target="http://www.nevo.co.il/law/70301/34k" TargetMode="External"/><Relationship Id="rId269" Type="http://schemas.openxmlformats.org/officeDocument/2006/relationships/hyperlink" Target="http://www.nevo.co.il/law/70301" TargetMode="External"/><Relationship Id="rId12" Type="http://schemas.openxmlformats.org/officeDocument/2006/relationships/hyperlink" Target="http://www.nevo.co.il/law/71600/2.a" TargetMode="External"/><Relationship Id="rId33" Type="http://schemas.openxmlformats.org/officeDocument/2006/relationships/hyperlink" Target="http://www.nevo.co.il/law/73015/8" TargetMode="External"/><Relationship Id="rId108" Type="http://schemas.openxmlformats.org/officeDocument/2006/relationships/hyperlink" Target="http://www.nevo.co.il/law/71600" TargetMode="External"/><Relationship Id="rId129" Type="http://schemas.openxmlformats.org/officeDocument/2006/relationships/hyperlink" Target="http://www.nevo.co.il/law/71600/2" TargetMode="External"/><Relationship Id="rId280" Type="http://schemas.openxmlformats.org/officeDocument/2006/relationships/hyperlink" Target="http://www.nevo.co.il/links/psika/?link=&#1514;&#1508;%20385/98" TargetMode="External"/><Relationship Id="rId54" Type="http://schemas.openxmlformats.org/officeDocument/2006/relationships/hyperlink" Target="http://www.nevo.co.il/case/6015465" TargetMode="External"/><Relationship Id="rId75" Type="http://schemas.openxmlformats.org/officeDocument/2006/relationships/footer" Target="footer1.xml"/><Relationship Id="rId96" Type="http://schemas.openxmlformats.org/officeDocument/2006/relationships/hyperlink" Target="http://www.nevo.co.il/law/70301/34jg" TargetMode="External"/><Relationship Id="rId140" Type="http://schemas.openxmlformats.org/officeDocument/2006/relationships/hyperlink" Target="http://www.nevo.co.il/law/71600/2.a" TargetMode="External"/><Relationship Id="rId161" Type="http://schemas.openxmlformats.org/officeDocument/2006/relationships/hyperlink" Target="http://www.nevo.co.il/law/74903" TargetMode="External"/><Relationship Id="rId182" Type="http://schemas.openxmlformats.org/officeDocument/2006/relationships/hyperlink" Target="http://www.nevo.co.il/law/70301/34e" TargetMode="External"/><Relationship Id="rId217" Type="http://schemas.openxmlformats.org/officeDocument/2006/relationships/hyperlink" Target="http://www.nevo.co.il/law/73015/8" TargetMode="External"/><Relationship Id="rId6" Type="http://schemas.openxmlformats.org/officeDocument/2006/relationships/footnotes" Target="footnotes.xml"/><Relationship Id="rId238" Type="http://schemas.openxmlformats.org/officeDocument/2006/relationships/hyperlink" Target="http://www.nevo.co.il/law/70301/34k" TargetMode="External"/><Relationship Id="rId259" Type="http://schemas.openxmlformats.org/officeDocument/2006/relationships/hyperlink" Target="http://www.nevo.co.il/law/71600/48" TargetMode="External"/><Relationship Id="rId23" Type="http://schemas.openxmlformats.org/officeDocument/2006/relationships/hyperlink" Target="http://www.nevo.co.il/law/70301/31" TargetMode="External"/><Relationship Id="rId119" Type="http://schemas.openxmlformats.org/officeDocument/2006/relationships/hyperlink" Target="http://www.nevo.co.il/law/71600/2.b" TargetMode="External"/><Relationship Id="rId270" Type="http://schemas.openxmlformats.org/officeDocument/2006/relationships/hyperlink" Target="http://www.nevo.co.il/law/71600" TargetMode="External"/><Relationship Id="rId44" Type="http://schemas.openxmlformats.org/officeDocument/2006/relationships/hyperlink" Target="http://www.nevo.co.il/law/74062" TargetMode="External"/><Relationship Id="rId65" Type="http://schemas.openxmlformats.org/officeDocument/2006/relationships/hyperlink" Target="http://www.nevo.co.il/case/5674011" TargetMode="External"/><Relationship Id="rId86" Type="http://schemas.openxmlformats.org/officeDocument/2006/relationships/hyperlink" Target="http://www.nevo.co.il/safrut/book/10052" TargetMode="External"/><Relationship Id="rId130" Type="http://schemas.openxmlformats.org/officeDocument/2006/relationships/hyperlink" Target="http://www.nevo.co.il/law/71600/2" TargetMode="External"/><Relationship Id="rId151" Type="http://schemas.openxmlformats.org/officeDocument/2006/relationships/hyperlink" Target="http://www.nevo.co.il/law/71600/2.b.3" TargetMode="External"/><Relationship Id="rId172" Type="http://schemas.openxmlformats.org/officeDocument/2006/relationships/hyperlink" Target="http://www.nevo.co.il/law/70301/34jg" TargetMode="External"/><Relationship Id="rId193" Type="http://schemas.openxmlformats.org/officeDocument/2006/relationships/hyperlink" Target="http://www.nevo.co.il/case/5959420" TargetMode="External"/><Relationship Id="rId207" Type="http://schemas.openxmlformats.org/officeDocument/2006/relationships/hyperlink" Target="http://www.nevo.co.il/links/psika/?link=&#1506;&#1508;%20320/99" TargetMode="External"/><Relationship Id="rId228" Type="http://schemas.openxmlformats.org/officeDocument/2006/relationships/hyperlink" Target="http://www.nevo.co.il/law/70301/34k" TargetMode="External"/><Relationship Id="rId249" Type="http://schemas.openxmlformats.org/officeDocument/2006/relationships/hyperlink" Target="http://www.nevo.co.il/law/70301/34k" TargetMode="External"/><Relationship Id="rId13" Type="http://schemas.openxmlformats.org/officeDocument/2006/relationships/hyperlink" Target="http://www.nevo.co.il/law/71600/2.b" TargetMode="External"/><Relationship Id="rId18" Type="http://schemas.openxmlformats.org/officeDocument/2006/relationships/hyperlink" Target="http://www.nevo.co.il/law/71600/14" TargetMode="External"/><Relationship Id="rId39" Type="http://schemas.openxmlformats.org/officeDocument/2006/relationships/hyperlink" Target="http://www.nevo.co.il/law/74417/24" TargetMode="External"/><Relationship Id="rId109" Type="http://schemas.openxmlformats.org/officeDocument/2006/relationships/hyperlink" Target="http://www.nevo.co.il/law/70320" TargetMode="External"/><Relationship Id="rId260" Type="http://schemas.openxmlformats.org/officeDocument/2006/relationships/hyperlink" Target="http://www.nevo.co.il/law/71600/2.b.3" TargetMode="External"/><Relationship Id="rId265" Type="http://schemas.openxmlformats.org/officeDocument/2006/relationships/hyperlink" Target="http://www.nevo.co.il/law/71600/9" TargetMode="External"/><Relationship Id="rId281" Type="http://schemas.openxmlformats.org/officeDocument/2006/relationships/header" Target="header6.xml"/><Relationship Id="rId34" Type="http://schemas.openxmlformats.org/officeDocument/2006/relationships/hyperlink" Target="http://www.nevo.co.il/law/74372" TargetMode="External"/><Relationship Id="rId50" Type="http://schemas.openxmlformats.org/officeDocument/2006/relationships/hyperlink" Target="http://www.nevo.co.il/case/6055102" TargetMode="External"/><Relationship Id="rId55" Type="http://schemas.openxmlformats.org/officeDocument/2006/relationships/hyperlink" Target="http://www.nevo.co.il/case/5727190" TargetMode="External"/><Relationship Id="rId76" Type="http://schemas.openxmlformats.org/officeDocument/2006/relationships/footer" Target="footer2.xml"/><Relationship Id="rId97" Type="http://schemas.openxmlformats.org/officeDocument/2006/relationships/hyperlink" Target="http://www.nevo.co.il/law/70301" TargetMode="External"/><Relationship Id="rId104" Type="http://schemas.openxmlformats.org/officeDocument/2006/relationships/hyperlink" Target="http://www.nevo.co.il/law/71600/2.b.3" TargetMode="External"/><Relationship Id="rId120" Type="http://schemas.openxmlformats.org/officeDocument/2006/relationships/hyperlink" Target="http://www.nevo.co.il/law/71600/2.b" TargetMode="External"/><Relationship Id="rId125" Type="http://schemas.openxmlformats.org/officeDocument/2006/relationships/hyperlink" Target="http://www.nevo.co.il/case/17943004" TargetMode="External"/><Relationship Id="rId141" Type="http://schemas.openxmlformats.org/officeDocument/2006/relationships/hyperlink" Target="http://www.nevo.co.il/safrut/book/444" TargetMode="External"/><Relationship Id="rId146" Type="http://schemas.openxmlformats.org/officeDocument/2006/relationships/hyperlink" Target="http://www.nevo.co.il/case/5813901" TargetMode="External"/><Relationship Id="rId167" Type="http://schemas.openxmlformats.org/officeDocument/2006/relationships/hyperlink" Target="http://www.nevo.co.il/safrut/bookgroup/412" TargetMode="External"/><Relationship Id="rId188" Type="http://schemas.openxmlformats.org/officeDocument/2006/relationships/hyperlink" Target="http://www.nevo.co.il/case/5970742" TargetMode="External"/><Relationship Id="rId7" Type="http://schemas.openxmlformats.org/officeDocument/2006/relationships/endnotes" Target="endnotes.xml"/><Relationship Id="rId71" Type="http://schemas.openxmlformats.org/officeDocument/2006/relationships/hyperlink" Target="http://www.nevo.co.il/safrut/bookgroup/412" TargetMode="External"/><Relationship Id="rId92" Type="http://schemas.openxmlformats.org/officeDocument/2006/relationships/hyperlink" Target="http://www.nevo.co.il/law/71600/4" TargetMode="External"/><Relationship Id="rId162" Type="http://schemas.openxmlformats.org/officeDocument/2006/relationships/hyperlink" Target="http://www.nevo.co.il/law/74903/62" TargetMode="External"/><Relationship Id="rId183" Type="http://schemas.openxmlformats.org/officeDocument/2006/relationships/hyperlink" Target="http://www.nevo.co.il/law/70301" TargetMode="External"/><Relationship Id="rId213" Type="http://schemas.openxmlformats.org/officeDocument/2006/relationships/hyperlink" Target="http://www.nevo.co.il/law/70301" TargetMode="External"/><Relationship Id="rId218" Type="http://schemas.openxmlformats.org/officeDocument/2006/relationships/hyperlink" Target="http://www.nevo.co.il/law/73015" TargetMode="External"/><Relationship Id="rId234" Type="http://schemas.openxmlformats.org/officeDocument/2006/relationships/hyperlink" Target="http://www.nevo.co.il/law/74417/23" TargetMode="External"/><Relationship Id="rId239" Type="http://schemas.openxmlformats.org/officeDocument/2006/relationships/hyperlink" Target="http://www.nevo.co.il/law/70301/34k" TargetMode="External"/><Relationship Id="rId2" Type="http://schemas.openxmlformats.org/officeDocument/2006/relationships/numbering" Target="numbering.xml"/><Relationship Id="rId29" Type="http://schemas.openxmlformats.org/officeDocument/2006/relationships/hyperlink" Target="http://www.nevo.co.il/law/74903" TargetMode="External"/><Relationship Id="rId250" Type="http://schemas.openxmlformats.org/officeDocument/2006/relationships/header" Target="header4.xml"/><Relationship Id="rId255" Type="http://schemas.openxmlformats.org/officeDocument/2006/relationships/hyperlink" Target="http://www.nevo.co.il/law/70301/34k" TargetMode="External"/><Relationship Id="rId271" Type="http://schemas.openxmlformats.org/officeDocument/2006/relationships/hyperlink" Target="http://www.nevo.co.il/case/5910850" TargetMode="External"/><Relationship Id="rId276" Type="http://schemas.openxmlformats.org/officeDocument/2006/relationships/hyperlink" Target="http://www.nevo.co.il/case/6055102" TargetMode="External"/><Relationship Id="rId24" Type="http://schemas.openxmlformats.org/officeDocument/2006/relationships/hyperlink" Target="http://www.nevo.co.il/law/70301/34e" TargetMode="External"/><Relationship Id="rId40" Type="http://schemas.openxmlformats.org/officeDocument/2006/relationships/hyperlink" Target="http://www.nevo.co.il/law/74849" TargetMode="External"/><Relationship Id="rId45" Type="http://schemas.openxmlformats.org/officeDocument/2006/relationships/hyperlink" Target="http://www.nevo.co.il/case/5821108" TargetMode="External"/><Relationship Id="rId66" Type="http://schemas.openxmlformats.org/officeDocument/2006/relationships/hyperlink" Target="http://www.nevo.co.il/case/6143217" TargetMode="External"/><Relationship Id="rId87" Type="http://schemas.openxmlformats.org/officeDocument/2006/relationships/hyperlink" Target="http://www.nevo.co.il/links/psika/?link=&#1514;&#1508;%20287/98" TargetMode="External"/><Relationship Id="rId110" Type="http://schemas.openxmlformats.org/officeDocument/2006/relationships/hyperlink" Target="http://www.nevo.co.il/law/70301/34k" TargetMode="External"/><Relationship Id="rId115" Type="http://schemas.openxmlformats.org/officeDocument/2006/relationships/hyperlink" Target="http://www.nevo.co.il/law/71600/2.b" TargetMode="External"/><Relationship Id="rId131" Type="http://schemas.openxmlformats.org/officeDocument/2006/relationships/hyperlink" Target="http://www.nevo.co.il/case/5959419" TargetMode="External"/><Relationship Id="rId136" Type="http://schemas.openxmlformats.org/officeDocument/2006/relationships/hyperlink" Target="http://www.nevo.co.il/law/71600/2.a" TargetMode="External"/><Relationship Id="rId157" Type="http://schemas.openxmlformats.org/officeDocument/2006/relationships/hyperlink" Target="http://www.nevo.co.il/law/71600/2.b.3" TargetMode="External"/><Relationship Id="rId178" Type="http://schemas.openxmlformats.org/officeDocument/2006/relationships/hyperlink" Target="http://www.nevo.co.il/law/70301/34jg" TargetMode="External"/><Relationship Id="rId61" Type="http://schemas.openxmlformats.org/officeDocument/2006/relationships/hyperlink" Target="http://www.nevo.co.il/case/5959420" TargetMode="External"/><Relationship Id="rId82" Type="http://schemas.openxmlformats.org/officeDocument/2006/relationships/hyperlink" Target="http://www.nevo.co.il/safrut/book/2884" TargetMode="External"/><Relationship Id="rId152" Type="http://schemas.openxmlformats.org/officeDocument/2006/relationships/hyperlink" Target="http://www.nevo.co.il/law/71600" TargetMode="External"/><Relationship Id="rId173" Type="http://schemas.openxmlformats.org/officeDocument/2006/relationships/hyperlink" Target="http://www.nevo.co.il/law/70301" TargetMode="External"/><Relationship Id="rId194" Type="http://schemas.openxmlformats.org/officeDocument/2006/relationships/hyperlink" Target="http://www.nevo.co.il/law/71600" TargetMode="External"/><Relationship Id="rId199" Type="http://schemas.openxmlformats.org/officeDocument/2006/relationships/hyperlink" Target="http://www.nevo.co.il/law/71600/2.b.3" TargetMode="External"/><Relationship Id="rId203" Type="http://schemas.openxmlformats.org/officeDocument/2006/relationships/hyperlink" Target="http://www.nevo.co.il/law/70301/31" TargetMode="External"/><Relationship Id="rId208" Type="http://schemas.openxmlformats.org/officeDocument/2006/relationships/hyperlink" Target="http://www.nevo.co.il/case/6094936" TargetMode="External"/><Relationship Id="rId229" Type="http://schemas.openxmlformats.org/officeDocument/2006/relationships/hyperlink" Target="http://www.nevo.co.il/law/74874/2" TargetMode="External"/><Relationship Id="rId19" Type="http://schemas.openxmlformats.org/officeDocument/2006/relationships/hyperlink" Target="http://www.nevo.co.il/law/71600/15a" TargetMode="External"/><Relationship Id="rId224" Type="http://schemas.openxmlformats.org/officeDocument/2006/relationships/hyperlink" Target="http://www.nevo.co.il/law/70301/e1CbS" TargetMode="External"/><Relationship Id="rId240" Type="http://schemas.openxmlformats.org/officeDocument/2006/relationships/hyperlink" Target="http://www.nevo.co.il/law/74849/17;18;19;20;21" TargetMode="External"/><Relationship Id="rId245" Type="http://schemas.openxmlformats.org/officeDocument/2006/relationships/hyperlink" Target="http://www.nevo.co.il/law/74417" TargetMode="External"/><Relationship Id="rId261" Type="http://schemas.openxmlformats.org/officeDocument/2006/relationships/hyperlink" Target="http://www.nevo.co.il/law/71600" TargetMode="External"/><Relationship Id="rId266" Type="http://schemas.openxmlformats.org/officeDocument/2006/relationships/hyperlink" Target="http://www.nevo.co.il/law/71600/2.b" TargetMode="External"/><Relationship Id="rId14" Type="http://schemas.openxmlformats.org/officeDocument/2006/relationships/hyperlink" Target="http://www.nevo.co.il/law/71600/2.b.3" TargetMode="External"/><Relationship Id="rId30" Type="http://schemas.openxmlformats.org/officeDocument/2006/relationships/hyperlink" Target="http://www.nevo.co.il/law/74903/59" TargetMode="External"/><Relationship Id="rId35" Type="http://schemas.openxmlformats.org/officeDocument/2006/relationships/hyperlink" Target="http://www.nevo.co.il/law/74372/13.5" TargetMode="External"/><Relationship Id="rId56" Type="http://schemas.openxmlformats.org/officeDocument/2006/relationships/hyperlink" Target="http://www.nevo.co.il/case/5857041" TargetMode="External"/><Relationship Id="rId77" Type="http://schemas.openxmlformats.org/officeDocument/2006/relationships/header" Target="header3.xml"/><Relationship Id="rId100" Type="http://schemas.openxmlformats.org/officeDocument/2006/relationships/hyperlink" Target="http://www.nevo.co.il/law/71600/2" TargetMode="External"/><Relationship Id="rId105" Type="http://schemas.openxmlformats.org/officeDocument/2006/relationships/hyperlink" Target="http://www.nevo.co.il/law/71600/2.b.3" TargetMode="External"/><Relationship Id="rId126" Type="http://schemas.openxmlformats.org/officeDocument/2006/relationships/hyperlink" Target="http://www.nevo.co.il/links/psika/?link=&#1489;&#1490;&#1509;%203544/94" TargetMode="External"/><Relationship Id="rId147" Type="http://schemas.openxmlformats.org/officeDocument/2006/relationships/hyperlink" Target="http://www.nevo.co.il/law/71600/2.b" TargetMode="External"/><Relationship Id="rId168" Type="http://schemas.openxmlformats.org/officeDocument/2006/relationships/hyperlink" Target="http://www.nevo.co.il/law/70301" TargetMode="External"/><Relationship Id="rId282" Type="http://schemas.openxmlformats.org/officeDocument/2006/relationships/header" Target="header7.xml"/><Relationship Id="rId8" Type="http://schemas.openxmlformats.org/officeDocument/2006/relationships/hyperlink" Target="http://www.nevo.co.il/law/74874" TargetMode="External"/><Relationship Id="rId51" Type="http://schemas.openxmlformats.org/officeDocument/2006/relationships/hyperlink" Target="http://www.nevo.co.il/case/5762700" TargetMode="External"/><Relationship Id="rId72" Type="http://schemas.openxmlformats.org/officeDocument/2006/relationships/hyperlink" Target="http://www.nevo.co.il/law/70301" TargetMode="External"/><Relationship Id="rId93" Type="http://schemas.openxmlformats.org/officeDocument/2006/relationships/hyperlink" Target="http://www.nevo.co.il/law/71600/48" TargetMode="External"/><Relationship Id="rId98" Type="http://schemas.openxmlformats.org/officeDocument/2006/relationships/hyperlink" Target="http://www.nevo.co.il/links/psika/?link=&#1514;&#1508;%20287/98" TargetMode="External"/><Relationship Id="rId121" Type="http://schemas.openxmlformats.org/officeDocument/2006/relationships/hyperlink" Target="http://www.nevo.co.il/law/71600" TargetMode="External"/><Relationship Id="rId142" Type="http://schemas.openxmlformats.org/officeDocument/2006/relationships/hyperlink" Target="http://www.nevo.co.il/law/71600/2.b" TargetMode="External"/><Relationship Id="rId163" Type="http://schemas.openxmlformats.org/officeDocument/2006/relationships/hyperlink" Target="http://www.nevo.co.il/safrut/book/2884" TargetMode="External"/><Relationship Id="rId184" Type="http://schemas.openxmlformats.org/officeDocument/2006/relationships/hyperlink" Target="http://www.nevo.co.il/law/71600" TargetMode="External"/><Relationship Id="rId189" Type="http://schemas.openxmlformats.org/officeDocument/2006/relationships/hyperlink" Target="http://www.nevo.co.il/law/71600" TargetMode="External"/><Relationship Id="rId219" Type="http://schemas.openxmlformats.org/officeDocument/2006/relationships/hyperlink" Target="http://www.nevo.co.il/law/74372/13.5" TargetMode="External"/><Relationship Id="rId3" Type="http://schemas.openxmlformats.org/officeDocument/2006/relationships/styles" Target="styles.xml"/><Relationship Id="rId214" Type="http://schemas.openxmlformats.org/officeDocument/2006/relationships/hyperlink" Target="http://www.nevo.co.il/law/70301/34k" TargetMode="External"/><Relationship Id="rId230" Type="http://schemas.openxmlformats.org/officeDocument/2006/relationships/hyperlink" Target="http://www.nevo.co.il/law/74874" TargetMode="External"/><Relationship Id="rId235" Type="http://schemas.openxmlformats.org/officeDocument/2006/relationships/hyperlink" Target="http://www.nevo.co.il/law/74417/24" TargetMode="External"/><Relationship Id="rId251" Type="http://schemas.openxmlformats.org/officeDocument/2006/relationships/header" Target="header5.xml"/><Relationship Id="rId256" Type="http://schemas.openxmlformats.org/officeDocument/2006/relationships/hyperlink" Target="http://www.nevo.co.il/law/71600/47.a.1" TargetMode="External"/><Relationship Id="rId277" Type="http://schemas.openxmlformats.org/officeDocument/2006/relationships/hyperlink" Target="http://www.nevo.co.il/law/71600" TargetMode="External"/><Relationship Id="rId25" Type="http://schemas.openxmlformats.org/officeDocument/2006/relationships/hyperlink" Target="http://www.nevo.co.il/law/70301/34jg" TargetMode="External"/><Relationship Id="rId46" Type="http://schemas.openxmlformats.org/officeDocument/2006/relationships/hyperlink" Target="http://www.nevo.co.il/case/17943004" TargetMode="External"/><Relationship Id="rId67" Type="http://schemas.openxmlformats.org/officeDocument/2006/relationships/hyperlink" Target="http://www.nevo.co.il/case/17936287" TargetMode="External"/><Relationship Id="rId116" Type="http://schemas.openxmlformats.org/officeDocument/2006/relationships/hyperlink" Target="http://www.nevo.co.il/law/71600/2.b" TargetMode="External"/><Relationship Id="rId137" Type="http://schemas.openxmlformats.org/officeDocument/2006/relationships/hyperlink" Target="http://www.nevo.co.il/law/71600/2.a" TargetMode="External"/><Relationship Id="rId158" Type="http://schemas.openxmlformats.org/officeDocument/2006/relationships/hyperlink" Target="http://www.nevo.co.il/law/70301/34jg" TargetMode="External"/><Relationship Id="rId272" Type="http://schemas.openxmlformats.org/officeDocument/2006/relationships/hyperlink" Target="http://www.nevo.co.il/law/71600/2.b" TargetMode="External"/><Relationship Id="rId20" Type="http://schemas.openxmlformats.org/officeDocument/2006/relationships/hyperlink" Target="http://www.nevo.co.il/law/71600/47.a.1" TargetMode="External"/><Relationship Id="rId41" Type="http://schemas.openxmlformats.org/officeDocument/2006/relationships/hyperlink" Target="http://www.nevo.co.il/law/74849/17;18;19;20;21" TargetMode="External"/><Relationship Id="rId62" Type="http://schemas.openxmlformats.org/officeDocument/2006/relationships/hyperlink" Target="http://www.nevo.co.il/case/17923103" TargetMode="External"/><Relationship Id="rId83" Type="http://schemas.openxmlformats.org/officeDocument/2006/relationships/hyperlink" Target="http://www.nevo.co.il/safrut/book/3227" TargetMode="External"/><Relationship Id="rId88" Type="http://schemas.openxmlformats.org/officeDocument/2006/relationships/hyperlink" Target="http://www.nevo.co.il/law/71600/47.a.1" TargetMode="External"/><Relationship Id="rId111" Type="http://schemas.openxmlformats.org/officeDocument/2006/relationships/hyperlink" Target="http://www.nevo.co.il/law/70301/34jg" TargetMode="External"/><Relationship Id="rId132" Type="http://schemas.openxmlformats.org/officeDocument/2006/relationships/hyperlink" Target="http://www.nevo.co.il/law/71600/2.b" TargetMode="External"/><Relationship Id="rId153" Type="http://schemas.openxmlformats.org/officeDocument/2006/relationships/hyperlink" Target="http://www.nevo.co.il/law/71600/2.b.3" TargetMode="External"/><Relationship Id="rId174" Type="http://schemas.openxmlformats.org/officeDocument/2006/relationships/hyperlink" Target="http://www.nevo.co.il/law/70301" TargetMode="External"/><Relationship Id="rId179" Type="http://schemas.openxmlformats.org/officeDocument/2006/relationships/hyperlink" Target="http://www.nevo.co.il/law/70301" TargetMode="External"/><Relationship Id="rId195" Type="http://schemas.openxmlformats.org/officeDocument/2006/relationships/hyperlink" Target="http://www.nevo.co.il/law/71600/9" TargetMode="External"/><Relationship Id="rId209" Type="http://schemas.openxmlformats.org/officeDocument/2006/relationships/hyperlink" Target="http://www.nevo.co.il/case/5674011" TargetMode="External"/><Relationship Id="rId190" Type="http://schemas.openxmlformats.org/officeDocument/2006/relationships/hyperlink" Target="http://www.nevo.co.il/case/5819116" TargetMode="External"/><Relationship Id="rId204" Type="http://schemas.openxmlformats.org/officeDocument/2006/relationships/hyperlink" Target="http://www.nevo.co.il/law/70301" TargetMode="External"/><Relationship Id="rId220" Type="http://schemas.openxmlformats.org/officeDocument/2006/relationships/hyperlink" Target="http://www.nevo.co.il/law/74372" TargetMode="External"/><Relationship Id="rId225" Type="http://schemas.openxmlformats.org/officeDocument/2006/relationships/hyperlink" Target="http://www.nevo.co.il/law/70301" TargetMode="External"/><Relationship Id="rId241" Type="http://schemas.openxmlformats.org/officeDocument/2006/relationships/hyperlink" Target="http://www.nevo.co.il/law/74849" TargetMode="External"/><Relationship Id="rId246" Type="http://schemas.openxmlformats.org/officeDocument/2006/relationships/hyperlink" Target="http://www.nevo.co.il/law/70301/34k" TargetMode="External"/><Relationship Id="rId267" Type="http://schemas.openxmlformats.org/officeDocument/2006/relationships/hyperlink" Target="http://www.nevo.co.il/law/71600/10" TargetMode="External"/><Relationship Id="rId15" Type="http://schemas.openxmlformats.org/officeDocument/2006/relationships/hyperlink" Target="http://www.nevo.co.il/law/71600/4" TargetMode="External"/><Relationship Id="rId36" Type="http://schemas.openxmlformats.org/officeDocument/2006/relationships/hyperlink" Target="http://www.nevo.co.il/law/131302" TargetMode="External"/><Relationship Id="rId57" Type="http://schemas.openxmlformats.org/officeDocument/2006/relationships/hyperlink" Target="http://www.nevo.co.il/case/5970742" TargetMode="External"/><Relationship Id="rId106" Type="http://schemas.openxmlformats.org/officeDocument/2006/relationships/hyperlink" Target="http://www.nevo.co.il/law/70301/34jg" TargetMode="External"/><Relationship Id="rId127" Type="http://schemas.openxmlformats.org/officeDocument/2006/relationships/hyperlink" Target="http://www.nevo.co.il/safrut/book/3173" TargetMode="External"/><Relationship Id="rId262" Type="http://schemas.openxmlformats.org/officeDocument/2006/relationships/hyperlink" Target="http://www.nevo.co.il/case/5959419" TargetMode="External"/><Relationship Id="rId283" Type="http://schemas.openxmlformats.org/officeDocument/2006/relationships/fontTable" Target="fontTable.xml"/><Relationship Id="rId10" Type="http://schemas.openxmlformats.org/officeDocument/2006/relationships/hyperlink" Target="http://www.nevo.co.il/law/71600" TargetMode="External"/><Relationship Id="rId31" Type="http://schemas.openxmlformats.org/officeDocument/2006/relationships/hyperlink" Target="http://www.nevo.co.il/law/74903/62" TargetMode="External"/><Relationship Id="rId52" Type="http://schemas.openxmlformats.org/officeDocument/2006/relationships/hyperlink" Target="http://www.nevo.co.il/case/17941546" TargetMode="External"/><Relationship Id="rId73" Type="http://schemas.openxmlformats.org/officeDocument/2006/relationships/header" Target="header1.xml"/><Relationship Id="rId78" Type="http://schemas.openxmlformats.org/officeDocument/2006/relationships/footer" Target="footer3.xml"/><Relationship Id="rId94" Type="http://schemas.openxmlformats.org/officeDocument/2006/relationships/hyperlink" Target="http://www.nevo.co.il/law/71600/2" TargetMode="External"/><Relationship Id="rId99" Type="http://schemas.openxmlformats.org/officeDocument/2006/relationships/hyperlink" Target="http://www.nevo.co.il/links/psika/?link=&#1514;&#1508;%20287/98" TargetMode="External"/><Relationship Id="rId101" Type="http://schemas.openxmlformats.org/officeDocument/2006/relationships/hyperlink" Target="http://www.nevo.co.il/law/71600" TargetMode="External"/><Relationship Id="rId122" Type="http://schemas.openxmlformats.org/officeDocument/2006/relationships/hyperlink" Target="http://www.nevo.co.il/law/71600" TargetMode="External"/><Relationship Id="rId143" Type="http://schemas.openxmlformats.org/officeDocument/2006/relationships/hyperlink" Target="http://www.nevo.co.il/law/71600" TargetMode="External"/><Relationship Id="rId148" Type="http://schemas.openxmlformats.org/officeDocument/2006/relationships/hyperlink" Target="http://www.nevo.co.il/case/6055102" TargetMode="External"/><Relationship Id="rId164" Type="http://schemas.openxmlformats.org/officeDocument/2006/relationships/hyperlink" Target="http://www.nevo.co.il/safrut/book/3227" TargetMode="External"/><Relationship Id="rId169" Type="http://schemas.openxmlformats.org/officeDocument/2006/relationships/hyperlink" Target="http://www.nevo.co.il/law/70301" TargetMode="External"/><Relationship Id="rId185" Type="http://schemas.openxmlformats.org/officeDocument/2006/relationships/hyperlink" Target="http://www.nevo.co.il/law/70301/34kc" TargetMode="External"/><Relationship Id="rId4" Type="http://schemas.openxmlformats.org/officeDocument/2006/relationships/settings" Target="settings.xml"/><Relationship Id="rId9" Type="http://schemas.openxmlformats.org/officeDocument/2006/relationships/hyperlink" Target="http://www.nevo.co.il/law/74874/2" TargetMode="External"/><Relationship Id="rId180" Type="http://schemas.openxmlformats.org/officeDocument/2006/relationships/hyperlink" Target="http://www.nevo.co.il/case/5727190" TargetMode="External"/><Relationship Id="rId210" Type="http://schemas.openxmlformats.org/officeDocument/2006/relationships/hyperlink" Target="http://www.nevo.co.il/case/6143217" TargetMode="External"/><Relationship Id="rId215" Type="http://schemas.openxmlformats.org/officeDocument/2006/relationships/hyperlink" Target="http://www.nevo.co.il/law/70301" TargetMode="External"/><Relationship Id="rId236" Type="http://schemas.openxmlformats.org/officeDocument/2006/relationships/hyperlink" Target="http://www.nevo.co.il/law/70301/34k" TargetMode="External"/><Relationship Id="rId257" Type="http://schemas.openxmlformats.org/officeDocument/2006/relationships/hyperlink" Target="http://www.nevo.co.il/law/71600" TargetMode="External"/><Relationship Id="rId278" Type="http://schemas.openxmlformats.org/officeDocument/2006/relationships/hyperlink" Target="http://www.nevo.co.il/law/71600/2" TargetMode="External"/><Relationship Id="rId26" Type="http://schemas.openxmlformats.org/officeDocument/2006/relationships/hyperlink" Target="http://www.nevo.co.il/law/70301/34k" TargetMode="External"/><Relationship Id="rId231" Type="http://schemas.openxmlformats.org/officeDocument/2006/relationships/hyperlink" Target="http://www.nevo.co.il/safrut/book/10052" TargetMode="External"/><Relationship Id="rId252" Type="http://schemas.openxmlformats.org/officeDocument/2006/relationships/hyperlink" Target="http://www.nevo.co.il/law/70301/34k" TargetMode="External"/><Relationship Id="rId273" Type="http://schemas.openxmlformats.org/officeDocument/2006/relationships/hyperlink" Target="http://www.nevo.co.il/case/5819116" TargetMode="External"/><Relationship Id="rId47" Type="http://schemas.openxmlformats.org/officeDocument/2006/relationships/hyperlink" Target="http://www.nevo.co.il/case/5959419" TargetMode="External"/><Relationship Id="rId68" Type="http://schemas.openxmlformats.org/officeDocument/2006/relationships/hyperlink" Target="http://www.nevo.co.il/case/17916500" TargetMode="External"/><Relationship Id="rId89" Type="http://schemas.openxmlformats.org/officeDocument/2006/relationships/hyperlink" Target="http://www.nevo.co.il/law/71600" TargetMode="External"/><Relationship Id="rId112" Type="http://schemas.openxmlformats.org/officeDocument/2006/relationships/hyperlink" Target="http://www.nevo.co.il/law/70301/34k" TargetMode="External"/><Relationship Id="rId133" Type="http://schemas.openxmlformats.org/officeDocument/2006/relationships/hyperlink" Target="http://www.nevo.co.il/law/71600" TargetMode="External"/><Relationship Id="rId154" Type="http://schemas.openxmlformats.org/officeDocument/2006/relationships/hyperlink" Target="http://www.nevo.co.il/law/71600/2.b.3" TargetMode="External"/><Relationship Id="rId175" Type="http://schemas.openxmlformats.org/officeDocument/2006/relationships/hyperlink" Target="http://www.nevo.co.il/law/70301" TargetMode="External"/><Relationship Id="rId196" Type="http://schemas.openxmlformats.org/officeDocument/2006/relationships/hyperlink" Target="http://www.nevo.co.il/law/71600/14" TargetMode="External"/><Relationship Id="rId200" Type="http://schemas.openxmlformats.org/officeDocument/2006/relationships/hyperlink" Target="http://www.nevo.co.il/law/71600" TargetMode="External"/><Relationship Id="rId16" Type="http://schemas.openxmlformats.org/officeDocument/2006/relationships/hyperlink" Target="http://www.nevo.co.il/law/71600/9" TargetMode="External"/><Relationship Id="rId221" Type="http://schemas.openxmlformats.org/officeDocument/2006/relationships/hyperlink" Target="http://www.nevo.co.il/law/70301/34k" TargetMode="External"/><Relationship Id="rId242" Type="http://schemas.openxmlformats.org/officeDocument/2006/relationships/hyperlink" Target="http://www.nevo.co.il/law/73899" TargetMode="External"/><Relationship Id="rId263" Type="http://schemas.openxmlformats.org/officeDocument/2006/relationships/hyperlink" Target="http://www.nevo.co.il/law/71600/4" TargetMode="External"/><Relationship Id="rId284" Type="http://schemas.openxmlformats.org/officeDocument/2006/relationships/theme" Target="theme/theme1.xml"/><Relationship Id="rId37" Type="http://schemas.openxmlformats.org/officeDocument/2006/relationships/hyperlink" Target="http://www.nevo.co.il/law/74417" TargetMode="External"/><Relationship Id="rId58" Type="http://schemas.openxmlformats.org/officeDocument/2006/relationships/hyperlink" Target="http://www.nevo.co.il/case/5819116" TargetMode="External"/><Relationship Id="rId79" Type="http://schemas.openxmlformats.org/officeDocument/2006/relationships/hyperlink" Target="http://www.nevo.co.il/safrut/book/6650" TargetMode="External"/><Relationship Id="rId102" Type="http://schemas.openxmlformats.org/officeDocument/2006/relationships/hyperlink" Target="http://www.nevo.co.il/law/71600/2.a" TargetMode="External"/><Relationship Id="rId123" Type="http://schemas.openxmlformats.org/officeDocument/2006/relationships/hyperlink" Target="http://www.nevo.co.il/case/5821108" TargetMode="External"/><Relationship Id="rId144" Type="http://schemas.openxmlformats.org/officeDocument/2006/relationships/hyperlink" Target="http://www.nevo.co.il/case/5910850" TargetMode="External"/><Relationship Id="rId90" Type="http://schemas.openxmlformats.org/officeDocument/2006/relationships/hyperlink" Target="http://www.nevo.co.il/law/71600/2.a" TargetMode="External"/><Relationship Id="rId165" Type="http://schemas.openxmlformats.org/officeDocument/2006/relationships/hyperlink" Target="http://www.nevo.co.il/case/17941546" TargetMode="External"/><Relationship Id="rId186" Type="http://schemas.openxmlformats.org/officeDocument/2006/relationships/hyperlink" Target="http://www.nevo.co.il/law/70301" TargetMode="External"/><Relationship Id="rId211" Type="http://schemas.openxmlformats.org/officeDocument/2006/relationships/hyperlink" Target="http://www.nevo.co.il/links/psika/?link=&#1514;&#1508;%20287/98" TargetMode="External"/><Relationship Id="rId232" Type="http://schemas.openxmlformats.org/officeDocument/2006/relationships/hyperlink" Target="http://www.nevo.co.il/law/74417" TargetMode="External"/><Relationship Id="rId253" Type="http://schemas.openxmlformats.org/officeDocument/2006/relationships/hyperlink" Target="http://www.nevo.co.il/case/17936287" TargetMode="External"/><Relationship Id="rId274" Type="http://schemas.openxmlformats.org/officeDocument/2006/relationships/hyperlink" Target="http://www.nevo.co.il/law/71600/2.b" TargetMode="External"/><Relationship Id="rId27" Type="http://schemas.openxmlformats.org/officeDocument/2006/relationships/hyperlink" Target="http://www.nevo.co.il/law/70301/34kc" TargetMode="External"/><Relationship Id="rId48" Type="http://schemas.openxmlformats.org/officeDocument/2006/relationships/hyperlink" Target="http://www.nevo.co.il/case/5910850" TargetMode="External"/><Relationship Id="rId69" Type="http://schemas.openxmlformats.org/officeDocument/2006/relationships/hyperlink" Target="http://www.nevo.co.il/links/psika/?link=&#1514;&#1508;%20287/98" TargetMode="External"/><Relationship Id="rId113" Type="http://schemas.openxmlformats.org/officeDocument/2006/relationships/hyperlink" Target="http://www.nevo.co.il/law/71600/2" TargetMode="External"/><Relationship Id="rId134" Type="http://schemas.openxmlformats.org/officeDocument/2006/relationships/hyperlink" Target="http://www.nevo.co.il/law/71600/2.b" TargetMode="External"/><Relationship Id="rId80" Type="http://schemas.openxmlformats.org/officeDocument/2006/relationships/hyperlink" Target="http://www.nevo.co.il/safrut/book/444" TargetMode="External"/><Relationship Id="rId155" Type="http://schemas.openxmlformats.org/officeDocument/2006/relationships/hyperlink" Target="http://www.nevo.co.il/law/71600/2.a" TargetMode="External"/><Relationship Id="rId176" Type="http://schemas.openxmlformats.org/officeDocument/2006/relationships/hyperlink" Target="http://www.nevo.co.il/case/6015465" TargetMode="External"/><Relationship Id="rId197" Type="http://schemas.openxmlformats.org/officeDocument/2006/relationships/hyperlink" Target="http://www.nevo.co.il/law/71600/15a" TargetMode="External"/><Relationship Id="rId201" Type="http://schemas.openxmlformats.org/officeDocument/2006/relationships/hyperlink" Target="http://www.nevo.co.il/law/70301/34jg" TargetMode="External"/><Relationship Id="rId222" Type="http://schemas.openxmlformats.org/officeDocument/2006/relationships/hyperlink" Target="http://www.nevo.co.il/law/70301" TargetMode="External"/><Relationship Id="rId243" Type="http://schemas.openxmlformats.org/officeDocument/2006/relationships/hyperlink" Target="http://www.nevo.co.il/law/73899/14" TargetMode="External"/><Relationship Id="rId264" Type="http://schemas.openxmlformats.org/officeDocument/2006/relationships/hyperlink" Target="http://www.nevo.co.il/law/71600/2.b" TargetMode="External"/><Relationship Id="rId17" Type="http://schemas.openxmlformats.org/officeDocument/2006/relationships/hyperlink" Target="http://www.nevo.co.il/law/71600/10" TargetMode="External"/><Relationship Id="rId38" Type="http://schemas.openxmlformats.org/officeDocument/2006/relationships/hyperlink" Target="http://www.nevo.co.il/law/74417/23" TargetMode="External"/><Relationship Id="rId59" Type="http://schemas.openxmlformats.org/officeDocument/2006/relationships/hyperlink" Target="http://www.nevo.co.il/case/5743140" TargetMode="External"/><Relationship Id="rId103" Type="http://schemas.openxmlformats.org/officeDocument/2006/relationships/hyperlink" Target="http://www.nevo.co.il/law/71600" TargetMode="External"/><Relationship Id="rId124" Type="http://schemas.openxmlformats.org/officeDocument/2006/relationships/hyperlink" Target="http://www.nevo.co.il/safrut/book/6650" TargetMode="External"/><Relationship Id="rId70" Type="http://schemas.openxmlformats.org/officeDocument/2006/relationships/hyperlink" Target="http://www.nevo.co.il/links/psika/?link=&#1514;&#1508;%20385/98" TargetMode="External"/><Relationship Id="rId91" Type="http://schemas.openxmlformats.org/officeDocument/2006/relationships/hyperlink" Target="http://www.nevo.co.il/law/71600/2.b.3" TargetMode="External"/><Relationship Id="rId145" Type="http://schemas.openxmlformats.org/officeDocument/2006/relationships/hyperlink" Target="http://www.nevo.co.il/law/71600/2.b" TargetMode="External"/><Relationship Id="rId166" Type="http://schemas.openxmlformats.org/officeDocument/2006/relationships/hyperlink" Target="http://www.nevo.co.il/case/17932079" TargetMode="External"/><Relationship Id="rId187" Type="http://schemas.openxmlformats.org/officeDocument/2006/relationships/hyperlink" Target="http://www.nevo.co.il/law/70301" TargetMode="External"/><Relationship Id="rId1" Type="http://schemas.microsoft.com/office/2006/relationships/keyMapCustomizations" Target="customizations.xml"/><Relationship Id="rId212" Type="http://schemas.openxmlformats.org/officeDocument/2006/relationships/hyperlink" Target="http://www.nevo.co.il/law/70301/34k" TargetMode="External"/><Relationship Id="rId233" Type="http://schemas.openxmlformats.org/officeDocument/2006/relationships/hyperlink" Target="http://www.nevo.co.il/law/74417" TargetMode="External"/><Relationship Id="rId254" Type="http://schemas.openxmlformats.org/officeDocument/2006/relationships/hyperlink" Target="http://www.nevo.co.il/case/17916500" TargetMode="External"/><Relationship Id="rId28" Type="http://schemas.openxmlformats.org/officeDocument/2006/relationships/hyperlink" Target="http://www.nevo.co.il/law/70301/eCbS" TargetMode="External"/><Relationship Id="rId49" Type="http://schemas.openxmlformats.org/officeDocument/2006/relationships/hyperlink" Target="http://www.nevo.co.il/case/5813901" TargetMode="External"/><Relationship Id="rId114" Type="http://schemas.openxmlformats.org/officeDocument/2006/relationships/hyperlink" Target="http://www.nevo.co.il/law/71600" TargetMode="External"/><Relationship Id="rId275" Type="http://schemas.openxmlformats.org/officeDocument/2006/relationships/hyperlink" Target="http://www.nevo.co.il/case/5813901" TargetMode="External"/><Relationship Id="rId60" Type="http://schemas.openxmlformats.org/officeDocument/2006/relationships/hyperlink" Target="http://www.nevo.co.il/case/5876175" TargetMode="External"/><Relationship Id="rId81" Type="http://schemas.openxmlformats.org/officeDocument/2006/relationships/hyperlink" Target="http://www.nevo.co.il/safrut/book/6889" TargetMode="External"/><Relationship Id="rId135" Type="http://schemas.openxmlformats.org/officeDocument/2006/relationships/hyperlink" Target="http://www.nevo.co.il/law/71600/2.b" TargetMode="External"/><Relationship Id="rId156" Type="http://schemas.openxmlformats.org/officeDocument/2006/relationships/hyperlink" Target="http://www.nevo.co.il/links/psika/?link=&#1514;&#1508;%20287/98" TargetMode="External"/><Relationship Id="rId177" Type="http://schemas.openxmlformats.org/officeDocument/2006/relationships/hyperlink" Target="http://www.nevo.co.il/law/70301" TargetMode="External"/><Relationship Id="rId198" Type="http://schemas.openxmlformats.org/officeDocument/2006/relationships/hyperlink" Target="http://www.nevo.co.il/law/70301" TargetMode="External"/><Relationship Id="rId202" Type="http://schemas.openxmlformats.org/officeDocument/2006/relationships/hyperlink" Target="http://www.nevo.co.il/law/70301" TargetMode="External"/><Relationship Id="rId223" Type="http://schemas.openxmlformats.org/officeDocument/2006/relationships/hyperlink" Target="http://www.nevo.co.il/law/70301/34k" TargetMode="External"/><Relationship Id="rId244" Type="http://schemas.openxmlformats.org/officeDocument/2006/relationships/hyperlink" Target="http://www.nevo.co.il/law/70301/34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15661</Words>
  <Characters>78305</Characters>
  <Application>Microsoft Office Word</Application>
  <DocSecurity>0</DocSecurity>
  <Lines>652</Lines>
  <Paragraphs>187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93779</CharactersWithSpaces>
  <SharedDoc>false</SharedDoc>
  <HLinks>
    <vt:vector size="1596" baseType="variant">
      <vt:variant>
        <vt:i4>393283</vt:i4>
      </vt:variant>
      <vt:variant>
        <vt:i4>795</vt:i4>
      </vt:variant>
      <vt:variant>
        <vt:i4>0</vt:i4>
      </vt:variant>
      <vt:variant>
        <vt:i4>5</vt:i4>
      </vt:variant>
      <vt:variant>
        <vt:lpwstr>http://www.nevo.co.il/advertisements/nevo-100.doc</vt:lpwstr>
      </vt:variant>
      <vt:variant>
        <vt:lpwstr/>
      </vt:variant>
      <vt:variant>
        <vt:i4>97125778</vt:i4>
      </vt:variant>
      <vt:variant>
        <vt:i4>792</vt:i4>
      </vt:variant>
      <vt:variant>
        <vt:i4>0</vt:i4>
      </vt:variant>
      <vt:variant>
        <vt:i4>5</vt:i4>
      </vt:variant>
      <vt:variant>
        <vt:lpwstr>http://www.nevo.co.il/links/psika/?link=תפ 385/98</vt:lpwstr>
      </vt:variant>
      <vt:variant>
        <vt:lpwstr/>
      </vt:variant>
      <vt:variant>
        <vt:i4>7995491</vt:i4>
      </vt:variant>
      <vt:variant>
        <vt:i4>789</vt:i4>
      </vt:variant>
      <vt:variant>
        <vt:i4>0</vt:i4>
      </vt:variant>
      <vt:variant>
        <vt:i4>5</vt:i4>
      </vt:variant>
      <vt:variant>
        <vt:lpwstr>http://www.nevo.co.il/law/71600/2.b</vt:lpwstr>
      </vt:variant>
      <vt:variant>
        <vt:lpwstr/>
      </vt:variant>
      <vt:variant>
        <vt:i4>5505105</vt:i4>
      </vt:variant>
      <vt:variant>
        <vt:i4>786</vt:i4>
      </vt:variant>
      <vt:variant>
        <vt:i4>0</vt:i4>
      </vt:variant>
      <vt:variant>
        <vt:i4>5</vt:i4>
      </vt:variant>
      <vt:variant>
        <vt:lpwstr>http://www.nevo.co.il/law/71600/2</vt:lpwstr>
      </vt:variant>
      <vt:variant>
        <vt:lpwstr/>
      </vt:variant>
      <vt:variant>
        <vt:i4>8061025</vt:i4>
      </vt:variant>
      <vt:variant>
        <vt:i4>783</vt:i4>
      </vt:variant>
      <vt:variant>
        <vt:i4>0</vt:i4>
      </vt:variant>
      <vt:variant>
        <vt:i4>5</vt:i4>
      </vt:variant>
      <vt:variant>
        <vt:lpwstr>http://www.nevo.co.il/law/71600</vt:lpwstr>
      </vt:variant>
      <vt:variant>
        <vt:lpwstr/>
      </vt:variant>
      <vt:variant>
        <vt:i4>3145841</vt:i4>
      </vt:variant>
      <vt:variant>
        <vt:i4>780</vt:i4>
      </vt:variant>
      <vt:variant>
        <vt:i4>0</vt:i4>
      </vt:variant>
      <vt:variant>
        <vt:i4>5</vt:i4>
      </vt:variant>
      <vt:variant>
        <vt:lpwstr>http://www.nevo.co.il/case/6055102</vt:lpwstr>
      </vt:variant>
      <vt:variant>
        <vt:lpwstr/>
      </vt:variant>
      <vt:variant>
        <vt:i4>3932287</vt:i4>
      </vt:variant>
      <vt:variant>
        <vt:i4>777</vt:i4>
      </vt:variant>
      <vt:variant>
        <vt:i4>0</vt:i4>
      </vt:variant>
      <vt:variant>
        <vt:i4>5</vt:i4>
      </vt:variant>
      <vt:variant>
        <vt:lpwstr>http://www.nevo.co.il/case/5813901</vt:lpwstr>
      </vt:variant>
      <vt:variant>
        <vt:lpwstr/>
      </vt:variant>
      <vt:variant>
        <vt:i4>7995491</vt:i4>
      </vt:variant>
      <vt:variant>
        <vt:i4>774</vt:i4>
      </vt:variant>
      <vt:variant>
        <vt:i4>0</vt:i4>
      </vt:variant>
      <vt:variant>
        <vt:i4>5</vt:i4>
      </vt:variant>
      <vt:variant>
        <vt:lpwstr>http://www.nevo.co.il/law/71600/2.b</vt:lpwstr>
      </vt:variant>
      <vt:variant>
        <vt:lpwstr/>
      </vt:variant>
      <vt:variant>
        <vt:i4>3342452</vt:i4>
      </vt:variant>
      <vt:variant>
        <vt:i4>771</vt:i4>
      </vt:variant>
      <vt:variant>
        <vt:i4>0</vt:i4>
      </vt:variant>
      <vt:variant>
        <vt:i4>5</vt:i4>
      </vt:variant>
      <vt:variant>
        <vt:lpwstr>http://www.nevo.co.il/case/5819116</vt:lpwstr>
      </vt:variant>
      <vt:variant>
        <vt:lpwstr/>
      </vt:variant>
      <vt:variant>
        <vt:i4>7995491</vt:i4>
      </vt:variant>
      <vt:variant>
        <vt:i4>768</vt:i4>
      </vt:variant>
      <vt:variant>
        <vt:i4>0</vt:i4>
      </vt:variant>
      <vt:variant>
        <vt:i4>5</vt:i4>
      </vt:variant>
      <vt:variant>
        <vt:lpwstr>http://www.nevo.co.il/law/71600/2.b</vt:lpwstr>
      </vt:variant>
      <vt:variant>
        <vt:lpwstr/>
      </vt:variant>
      <vt:variant>
        <vt:i4>3932280</vt:i4>
      </vt:variant>
      <vt:variant>
        <vt:i4>765</vt:i4>
      </vt:variant>
      <vt:variant>
        <vt:i4>0</vt:i4>
      </vt:variant>
      <vt:variant>
        <vt:i4>5</vt:i4>
      </vt:variant>
      <vt:variant>
        <vt:lpwstr>http://www.nevo.co.il/case/5910850</vt:lpwstr>
      </vt:variant>
      <vt:variant>
        <vt:lpwstr/>
      </vt:variant>
      <vt:variant>
        <vt:i4>8061025</vt:i4>
      </vt:variant>
      <vt:variant>
        <vt:i4>762</vt:i4>
      </vt:variant>
      <vt:variant>
        <vt:i4>0</vt:i4>
      </vt:variant>
      <vt:variant>
        <vt:i4>5</vt:i4>
      </vt:variant>
      <vt:variant>
        <vt:lpwstr>http://www.nevo.co.il/law/71600</vt:lpwstr>
      </vt:variant>
      <vt:variant>
        <vt:lpwstr/>
      </vt:variant>
      <vt:variant>
        <vt:i4>7995492</vt:i4>
      </vt:variant>
      <vt:variant>
        <vt:i4>759</vt:i4>
      </vt:variant>
      <vt:variant>
        <vt:i4>0</vt:i4>
      </vt:variant>
      <vt:variant>
        <vt:i4>5</vt:i4>
      </vt:variant>
      <vt:variant>
        <vt:lpwstr>http://www.nevo.co.il/law/70301</vt:lpwstr>
      </vt:variant>
      <vt:variant>
        <vt:lpwstr/>
      </vt:variant>
      <vt:variant>
        <vt:i4>393228</vt:i4>
      </vt:variant>
      <vt:variant>
        <vt:i4>756</vt:i4>
      </vt:variant>
      <vt:variant>
        <vt:i4>0</vt:i4>
      </vt:variant>
      <vt:variant>
        <vt:i4>5</vt:i4>
      </vt:variant>
      <vt:variant>
        <vt:lpwstr>http://www.nevo.co.il/law/70301/34jg</vt:lpwstr>
      </vt:variant>
      <vt:variant>
        <vt:lpwstr/>
      </vt:variant>
      <vt:variant>
        <vt:i4>6553696</vt:i4>
      </vt:variant>
      <vt:variant>
        <vt:i4>753</vt:i4>
      </vt:variant>
      <vt:variant>
        <vt:i4>0</vt:i4>
      </vt:variant>
      <vt:variant>
        <vt:i4>5</vt:i4>
      </vt:variant>
      <vt:variant>
        <vt:lpwstr>http://www.nevo.co.il/law/71600/10</vt:lpwstr>
      </vt:variant>
      <vt:variant>
        <vt:lpwstr/>
      </vt:variant>
      <vt:variant>
        <vt:i4>7995491</vt:i4>
      </vt:variant>
      <vt:variant>
        <vt:i4>750</vt:i4>
      </vt:variant>
      <vt:variant>
        <vt:i4>0</vt:i4>
      </vt:variant>
      <vt:variant>
        <vt:i4>5</vt:i4>
      </vt:variant>
      <vt:variant>
        <vt:lpwstr>http://www.nevo.co.il/law/71600/2.b</vt:lpwstr>
      </vt:variant>
      <vt:variant>
        <vt:lpwstr/>
      </vt:variant>
      <vt:variant>
        <vt:i4>5505105</vt:i4>
      </vt:variant>
      <vt:variant>
        <vt:i4>747</vt:i4>
      </vt:variant>
      <vt:variant>
        <vt:i4>0</vt:i4>
      </vt:variant>
      <vt:variant>
        <vt:i4>5</vt:i4>
      </vt:variant>
      <vt:variant>
        <vt:lpwstr>http://www.nevo.co.il/law/71600/9</vt:lpwstr>
      </vt:variant>
      <vt:variant>
        <vt:lpwstr/>
      </vt:variant>
      <vt:variant>
        <vt:i4>7995491</vt:i4>
      </vt:variant>
      <vt:variant>
        <vt:i4>744</vt:i4>
      </vt:variant>
      <vt:variant>
        <vt:i4>0</vt:i4>
      </vt:variant>
      <vt:variant>
        <vt:i4>5</vt:i4>
      </vt:variant>
      <vt:variant>
        <vt:lpwstr>http://www.nevo.co.il/law/71600/2.b</vt:lpwstr>
      </vt:variant>
      <vt:variant>
        <vt:lpwstr/>
      </vt:variant>
      <vt:variant>
        <vt:i4>5505105</vt:i4>
      </vt:variant>
      <vt:variant>
        <vt:i4>741</vt:i4>
      </vt:variant>
      <vt:variant>
        <vt:i4>0</vt:i4>
      </vt:variant>
      <vt:variant>
        <vt:i4>5</vt:i4>
      </vt:variant>
      <vt:variant>
        <vt:lpwstr>http://www.nevo.co.il/law/71600/4</vt:lpwstr>
      </vt:variant>
      <vt:variant>
        <vt:lpwstr/>
      </vt:variant>
      <vt:variant>
        <vt:i4>3997813</vt:i4>
      </vt:variant>
      <vt:variant>
        <vt:i4>738</vt:i4>
      </vt:variant>
      <vt:variant>
        <vt:i4>0</vt:i4>
      </vt:variant>
      <vt:variant>
        <vt:i4>5</vt:i4>
      </vt:variant>
      <vt:variant>
        <vt:lpwstr>http://www.nevo.co.il/case/5959419</vt:lpwstr>
      </vt:variant>
      <vt:variant>
        <vt:lpwstr/>
      </vt:variant>
      <vt:variant>
        <vt:i4>8061025</vt:i4>
      </vt:variant>
      <vt:variant>
        <vt:i4>735</vt:i4>
      </vt:variant>
      <vt:variant>
        <vt:i4>0</vt:i4>
      </vt:variant>
      <vt:variant>
        <vt:i4>5</vt:i4>
      </vt:variant>
      <vt:variant>
        <vt:lpwstr>http://www.nevo.co.il/law/71600</vt:lpwstr>
      </vt:variant>
      <vt:variant>
        <vt:lpwstr/>
      </vt:variant>
      <vt:variant>
        <vt:i4>5505025</vt:i4>
      </vt:variant>
      <vt:variant>
        <vt:i4>732</vt:i4>
      </vt:variant>
      <vt:variant>
        <vt:i4>0</vt:i4>
      </vt:variant>
      <vt:variant>
        <vt:i4>5</vt:i4>
      </vt:variant>
      <vt:variant>
        <vt:lpwstr>http://www.nevo.co.il/law/71600/2.b.3</vt:lpwstr>
      </vt:variant>
      <vt:variant>
        <vt:lpwstr/>
      </vt:variant>
      <vt:variant>
        <vt:i4>7077989</vt:i4>
      </vt:variant>
      <vt:variant>
        <vt:i4>729</vt:i4>
      </vt:variant>
      <vt:variant>
        <vt:i4>0</vt:i4>
      </vt:variant>
      <vt:variant>
        <vt:i4>5</vt:i4>
      </vt:variant>
      <vt:variant>
        <vt:lpwstr>http://www.nevo.co.il/law/71600/48</vt:lpwstr>
      </vt:variant>
      <vt:variant>
        <vt:lpwstr/>
      </vt:variant>
      <vt:variant>
        <vt:i4>5505025</vt:i4>
      </vt:variant>
      <vt:variant>
        <vt:i4>726</vt:i4>
      </vt:variant>
      <vt:variant>
        <vt:i4>0</vt:i4>
      </vt:variant>
      <vt:variant>
        <vt:i4>5</vt:i4>
      </vt:variant>
      <vt:variant>
        <vt:lpwstr>http://www.nevo.co.il/law/71600/2.b.3</vt:lpwstr>
      </vt:variant>
      <vt:variant>
        <vt:lpwstr/>
      </vt:variant>
      <vt:variant>
        <vt:i4>8061025</vt:i4>
      </vt:variant>
      <vt:variant>
        <vt:i4>723</vt:i4>
      </vt:variant>
      <vt:variant>
        <vt:i4>0</vt:i4>
      </vt:variant>
      <vt:variant>
        <vt:i4>5</vt:i4>
      </vt:variant>
      <vt:variant>
        <vt:lpwstr>http://www.nevo.co.il/law/71600</vt:lpwstr>
      </vt:variant>
      <vt:variant>
        <vt:lpwstr/>
      </vt:variant>
      <vt:variant>
        <vt:i4>3342437</vt:i4>
      </vt:variant>
      <vt:variant>
        <vt:i4>720</vt:i4>
      </vt:variant>
      <vt:variant>
        <vt:i4>0</vt:i4>
      </vt:variant>
      <vt:variant>
        <vt:i4>5</vt:i4>
      </vt:variant>
      <vt:variant>
        <vt:lpwstr>http://www.nevo.co.il/law/71600/47.a.1</vt:lpwstr>
      </vt:variant>
      <vt:variant>
        <vt:lpwstr/>
      </vt:variant>
      <vt:variant>
        <vt:i4>6357094</vt:i4>
      </vt:variant>
      <vt:variant>
        <vt:i4>717</vt:i4>
      </vt:variant>
      <vt:variant>
        <vt:i4>0</vt:i4>
      </vt:variant>
      <vt:variant>
        <vt:i4>5</vt:i4>
      </vt:variant>
      <vt:variant>
        <vt:lpwstr>http://www.nevo.co.il/law/70301/34k</vt:lpwstr>
      </vt:variant>
      <vt:variant>
        <vt:lpwstr/>
      </vt:variant>
      <vt:variant>
        <vt:i4>4063351</vt:i4>
      </vt:variant>
      <vt:variant>
        <vt:i4>714</vt:i4>
      </vt:variant>
      <vt:variant>
        <vt:i4>0</vt:i4>
      </vt:variant>
      <vt:variant>
        <vt:i4>5</vt:i4>
      </vt:variant>
      <vt:variant>
        <vt:lpwstr>http://www.nevo.co.il/case/17916500</vt:lpwstr>
      </vt:variant>
      <vt:variant>
        <vt:lpwstr/>
      </vt:variant>
      <vt:variant>
        <vt:i4>3539058</vt:i4>
      </vt:variant>
      <vt:variant>
        <vt:i4>711</vt:i4>
      </vt:variant>
      <vt:variant>
        <vt:i4>0</vt:i4>
      </vt:variant>
      <vt:variant>
        <vt:i4>5</vt:i4>
      </vt:variant>
      <vt:variant>
        <vt:lpwstr>http://www.nevo.co.il/case/17936287</vt:lpwstr>
      </vt:variant>
      <vt:variant>
        <vt:lpwstr/>
      </vt:variant>
      <vt:variant>
        <vt:i4>6357094</vt:i4>
      </vt:variant>
      <vt:variant>
        <vt:i4>708</vt:i4>
      </vt:variant>
      <vt:variant>
        <vt:i4>0</vt:i4>
      </vt:variant>
      <vt:variant>
        <vt:i4>5</vt:i4>
      </vt:variant>
      <vt:variant>
        <vt:lpwstr>http://www.nevo.co.il/law/70301/34k</vt:lpwstr>
      </vt:variant>
      <vt:variant>
        <vt:lpwstr/>
      </vt:variant>
      <vt:variant>
        <vt:i4>6357094</vt:i4>
      </vt:variant>
      <vt:variant>
        <vt:i4>705</vt:i4>
      </vt:variant>
      <vt:variant>
        <vt:i4>0</vt:i4>
      </vt:variant>
      <vt:variant>
        <vt:i4>5</vt:i4>
      </vt:variant>
      <vt:variant>
        <vt:lpwstr>http://www.nevo.co.il/law/70301/34k</vt:lpwstr>
      </vt:variant>
      <vt:variant>
        <vt:lpwstr/>
      </vt:variant>
      <vt:variant>
        <vt:i4>6357094</vt:i4>
      </vt:variant>
      <vt:variant>
        <vt:i4>702</vt:i4>
      </vt:variant>
      <vt:variant>
        <vt:i4>0</vt:i4>
      </vt:variant>
      <vt:variant>
        <vt:i4>5</vt:i4>
      </vt:variant>
      <vt:variant>
        <vt:lpwstr>http://www.nevo.co.il/law/70301/34k</vt:lpwstr>
      </vt:variant>
      <vt:variant>
        <vt:lpwstr/>
      </vt:variant>
      <vt:variant>
        <vt:i4>6357094</vt:i4>
      </vt:variant>
      <vt:variant>
        <vt:i4>699</vt:i4>
      </vt:variant>
      <vt:variant>
        <vt:i4>0</vt:i4>
      </vt:variant>
      <vt:variant>
        <vt:i4>5</vt:i4>
      </vt:variant>
      <vt:variant>
        <vt:lpwstr>http://www.nevo.co.il/law/70301/34k</vt:lpwstr>
      </vt:variant>
      <vt:variant>
        <vt:lpwstr/>
      </vt:variant>
      <vt:variant>
        <vt:i4>6357094</vt:i4>
      </vt:variant>
      <vt:variant>
        <vt:i4>696</vt:i4>
      </vt:variant>
      <vt:variant>
        <vt:i4>0</vt:i4>
      </vt:variant>
      <vt:variant>
        <vt:i4>5</vt:i4>
      </vt:variant>
      <vt:variant>
        <vt:lpwstr>http://www.nevo.co.il/law/70301/34k</vt:lpwstr>
      </vt:variant>
      <vt:variant>
        <vt:lpwstr/>
      </vt:variant>
      <vt:variant>
        <vt:i4>8323171</vt:i4>
      </vt:variant>
      <vt:variant>
        <vt:i4>693</vt:i4>
      </vt:variant>
      <vt:variant>
        <vt:i4>0</vt:i4>
      </vt:variant>
      <vt:variant>
        <vt:i4>5</vt:i4>
      </vt:variant>
      <vt:variant>
        <vt:lpwstr>http://www.nevo.co.il/law/74417</vt:lpwstr>
      </vt:variant>
      <vt:variant>
        <vt:lpwstr/>
      </vt:variant>
      <vt:variant>
        <vt:i4>6357094</vt:i4>
      </vt:variant>
      <vt:variant>
        <vt:i4>690</vt:i4>
      </vt:variant>
      <vt:variant>
        <vt:i4>0</vt:i4>
      </vt:variant>
      <vt:variant>
        <vt:i4>5</vt:i4>
      </vt:variant>
      <vt:variant>
        <vt:lpwstr>http://www.nevo.co.il/law/70301/34k</vt:lpwstr>
      </vt:variant>
      <vt:variant>
        <vt:lpwstr/>
      </vt:variant>
      <vt:variant>
        <vt:i4>7012455</vt:i4>
      </vt:variant>
      <vt:variant>
        <vt:i4>687</vt:i4>
      </vt:variant>
      <vt:variant>
        <vt:i4>0</vt:i4>
      </vt:variant>
      <vt:variant>
        <vt:i4>5</vt:i4>
      </vt:variant>
      <vt:variant>
        <vt:lpwstr>http://www.nevo.co.il/law/73899/14</vt:lpwstr>
      </vt:variant>
      <vt:variant>
        <vt:lpwstr/>
      </vt:variant>
      <vt:variant>
        <vt:i4>7340143</vt:i4>
      </vt:variant>
      <vt:variant>
        <vt:i4>684</vt:i4>
      </vt:variant>
      <vt:variant>
        <vt:i4>0</vt:i4>
      </vt:variant>
      <vt:variant>
        <vt:i4>5</vt:i4>
      </vt:variant>
      <vt:variant>
        <vt:lpwstr>http://www.nevo.co.il/law/73899</vt:lpwstr>
      </vt:variant>
      <vt:variant>
        <vt:lpwstr/>
      </vt:variant>
      <vt:variant>
        <vt:i4>7995503</vt:i4>
      </vt:variant>
      <vt:variant>
        <vt:i4>681</vt:i4>
      </vt:variant>
      <vt:variant>
        <vt:i4>0</vt:i4>
      </vt:variant>
      <vt:variant>
        <vt:i4>5</vt:i4>
      </vt:variant>
      <vt:variant>
        <vt:lpwstr>http://www.nevo.co.il/law/74849</vt:lpwstr>
      </vt:variant>
      <vt:variant>
        <vt:lpwstr/>
      </vt:variant>
      <vt:variant>
        <vt:i4>6881388</vt:i4>
      </vt:variant>
      <vt:variant>
        <vt:i4>678</vt:i4>
      </vt:variant>
      <vt:variant>
        <vt:i4>0</vt:i4>
      </vt:variant>
      <vt:variant>
        <vt:i4>5</vt:i4>
      </vt:variant>
      <vt:variant>
        <vt:lpwstr>http://www.nevo.co.il/law/74849/17;18;19;20;21</vt:lpwstr>
      </vt:variant>
      <vt:variant>
        <vt:lpwstr/>
      </vt:variant>
      <vt:variant>
        <vt:i4>6357094</vt:i4>
      </vt:variant>
      <vt:variant>
        <vt:i4>675</vt:i4>
      </vt:variant>
      <vt:variant>
        <vt:i4>0</vt:i4>
      </vt:variant>
      <vt:variant>
        <vt:i4>5</vt:i4>
      </vt:variant>
      <vt:variant>
        <vt:lpwstr>http://www.nevo.co.il/law/70301/34k</vt:lpwstr>
      </vt:variant>
      <vt:variant>
        <vt:lpwstr/>
      </vt:variant>
      <vt:variant>
        <vt:i4>6357094</vt:i4>
      </vt:variant>
      <vt:variant>
        <vt:i4>672</vt:i4>
      </vt:variant>
      <vt:variant>
        <vt:i4>0</vt:i4>
      </vt:variant>
      <vt:variant>
        <vt:i4>5</vt:i4>
      </vt:variant>
      <vt:variant>
        <vt:lpwstr>http://www.nevo.co.il/law/70301/34k</vt:lpwstr>
      </vt:variant>
      <vt:variant>
        <vt:lpwstr/>
      </vt:variant>
      <vt:variant>
        <vt:i4>7995492</vt:i4>
      </vt:variant>
      <vt:variant>
        <vt:i4>669</vt:i4>
      </vt:variant>
      <vt:variant>
        <vt:i4>0</vt:i4>
      </vt:variant>
      <vt:variant>
        <vt:i4>5</vt:i4>
      </vt:variant>
      <vt:variant>
        <vt:lpwstr>http://www.nevo.co.il/law/70301</vt:lpwstr>
      </vt:variant>
      <vt:variant>
        <vt:lpwstr/>
      </vt:variant>
      <vt:variant>
        <vt:i4>6357094</vt:i4>
      </vt:variant>
      <vt:variant>
        <vt:i4>666</vt:i4>
      </vt:variant>
      <vt:variant>
        <vt:i4>0</vt:i4>
      </vt:variant>
      <vt:variant>
        <vt:i4>5</vt:i4>
      </vt:variant>
      <vt:variant>
        <vt:lpwstr>http://www.nevo.co.il/law/70301/34k</vt:lpwstr>
      </vt:variant>
      <vt:variant>
        <vt:lpwstr/>
      </vt:variant>
      <vt:variant>
        <vt:i4>6553702</vt:i4>
      </vt:variant>
      <vt:variant>
        <vt:i4>663</vt:i4>
      </vt:variant>
      <vt:variant>
        <vt:i4>0</vt:i4>
      </vt:variant>
      <vt:variant>
        <vt:i4>5</vt:i4>
      </vt:variant>
      <vt:variant>
        <vt:lpwstr>http://www.nevo.co.il/law/74417/24</vt:lpwstr>
      </vt:variant>
      <vt:variant>
        <vt:lpwstr/>
      </vt:variant>
      <vt:variant>
        <vt:i4>6488166</vt:i4>
      </vt:variant>
      <vt:variant>
        <vt:i4>660</vt:i4>
      </vt:variant>
      <vt:variant>
        <vt:i4>0</vt:i4>
      </vt:variant>
      <vt:variant>
        <vt:i4>5</vt:i4>
      </vt:variant>
      <vt:variant>
        <vt:lpwstr>http://www.nevo.co.il/law/74417/23</vt:lpwstr>
      </vt:variant>
      <vt:variant>
        <vt:lpwstr/>
      </vt:variant>
      <vt:variant>
        <vt:i4>8323171</vt:i4>
      </vt:variant>
      <vt:variant>
        <vt:i4>657</vt:i4>
      </vt:variant>
      <vt:variant>
        <vt:i4>0</vt:i4>
      </vt:variant>
      <vt:variant>
        <vt:i4>5</vt:i4>
      </vt:variant>
      <vt:variant>
        <vt:lpwstr>http://www.nevo.co.il/law/74417</vt:lpwstr>
      </vt:variant>
      <vt:variant>
        <vt:lpwstr/>
      </vt:variant>
      <vt:variant>
        <vt:i4>8323171</vt:i4>
      </vt:variant>
      <vt:variant>
        <vt:i4>654</vt:i4>
      </vt:variant>
      <vt:variant>
        <vt:i4>0</vt:i4>
      </vt:variant>
      <vt:variant>
        <vt:i4>5</vt:i4>
      </vt:variant>
      <vt:variant>
        <vt:lpwstr>http://www.nevo.co.il/law/74417</vt:lpwstr>
      </vt:variant>
      <vt:variant>
        <vt:lpwstr/>
      </vt:variant>
      <vt:variant>
        <vt:i4>7602225</vt:i4>
      </vt:variant>
      <vt:variant>
        <vt:i4>651</vt:i4>
      </vt:variant>
      <vt:variant>
        <vt:i4>0</vt:i4>
      </vt:variant>
      <vt:variant>
        <vt:i4>5</vt:i4>
      </vt:variant>
      <vt:variant>
        <vt:lpwstr>http://www.nevo.co.il/safrut/book/10052</vt:lpwstr>
      </vt:variant>
      <vt:variant>
        <vt:lpwstr/>
      </vt:variant>
      <vt:variant>
        <vt:i4>7929967</vt:i4>
      </vt:variant>
      <vt:variant>
        <vt:i4>648</vt:i4>
      </vt:variant>
      <vt:variant>
        <vt:i4>0</vt:i4>
      </vt:variant>
      <vt:variant>
        <vt:i4>5</vt:i4>
      </vt:variant>
      <vt:variant>
        <vt:lpwstr>http://www.nevo.co.il/law/74874</vt:lpwstr>
      </vt:variant>
      <vt:variant>
        <vt:lpwstr/>
      </vt:variant>
      <vt:variant>
        <vt:i4>5636187</vt:i4>
      </vt:variant>
      <vt:variant>
        <vt:i4>645</vt:i4>
      </vt:variant>
      <vt:variant>
        <vt:i4>0</vt:i4>
      </vt:variant>
      <vt:variant>
        <vt:i4>5</vt:i4>
      </vt:variant>
      <vt:variant>
        <vt:lpwstr>http://www.nevo.co.il/law/74874/2</vt:lpwstr>
      </vt:variant>
      <vt:variant>
        <vt:lpwstr/>
      </vt:variant>
      <vt:variant>
        <vt:i4>6357094</vt:i4>
      </vt:variant>
      <vt:variant>
        <vt:i4>642</vt:i4>
      </vt:variant>
      <vt:variant>
        <vt:i4>0</vt:i4>
      </vt:variant>
      <vt:variant>
        <vt:i4>5</vt:i4>
      </vt:variant>
      <vt:variant>
        <vt:lpwstr>http://www.nevo.co.il/law/70301/34k</vt:lpwstr>
      </vt:variant>
      <vt:variant>
        <vt:lpwstr/>
      </vt:variant>
      <vt:variant>
        <vt:i4>7995492</vt:i4>
      </vt:variant>
      <vt:variant>
        <vt:i4>639</vt:i4>
      </vt:variant>
      <vt:variant>
        <vt:i4>0</vt:i4>
      </vt:variant>
      <vt:variant>
        <vt:i4>5</vt:i4>
      </vt:variant>
      <vt:variant>
        <vt:lpwstr>http://www.nevo.co.il/law/70301</vt:lpwstr>
      </vt:variant>
      <vt:variant>
        <vt:lpwstr/>
      </vt:variant>
      <vt:variant>
        <vt:i4>6357094</vt:i4>
      </vt:variant>
      <vt:variant>
        <vt:i4>636</vt:i4>
      </vt:variant>
      <vt:variant>
        <vt:i4>0</vt:i4>
      </vt:variant>
      <vt:variant>
        <vt:i4>5</vt:i4>
      </vt:variant>
      <vt:variant>
        <vt:lpwstr>http://www.nevo.co.il/law/70301/34k</vt:lpwstr>
      </vt:variant>
      <vt:variant>
        <vt:lpwstr/>
      </vt:variant>
      <vt:variant>
        <vt:i4>7995492</vt:i4>
      </vt:variant>
      <vt:variant>
        <vt:i4>633</vt:i4>
      </vt:variant>
      <vt:variant>
        <vt:i4>0</vt:i4>
      </vt:variant>
      <vt:variant>
        <vt:i4>5</vt:i4>
      </vt:variant>
      <vt:variant>
        <vt:lpwstr>http://www.nevo.co.il/law/70301</vt:lpwstr>
      </vt:variant>
      <vt:variant>
        <vt:lpwstr/>
      </vt:variant>
      <vt:variant>
        <vt:i4>393299</vt:i4>
      </vt:variant>
      <vt:variant>
        <vt:i4>630</vt:i4>
      </vt:variant>
      <vt:variant>
        <vt:i4>0</vt:i4>
      </vt:variant>
      <vt:variant>
        <vt:i4>5</vt:i4>
      </vt:variant>
      <vt:variant>
        <vt:lpwstr>http://www.nevo.co.il/law/70301/e1CbS</vt:lpwstr>
      </vt:variant>
      <vt:variant>
        <vt:lpwstr/>
      </vt:variant>
      <vt:variant>
        <vt:i4>6357094</vt:i4>
      </vt:variant>
      <vt:variant>
        <vt:i4>627</vt:i4>
      </vt:variant>
      <vt:variant>
        <vt:i4>0</vt:i4>
      </vt:variant>
      <vt:variant>
        <vt:i4>5</vt:i4>
      </vt:variant>
      <vt:variant>
        <vt:lpwstr>http://www.nevo.co.il/law/70301/34k</vt:lpwstr>
      </vt:variant>
      <vt:variant>
        <vt:lpwstr/>
      </vt:variant>
      <vt:variant>
        <vt:i4>7995492</vt:i4>
      </vt:variant>
      <vt:variant>
        <vt:i4>624</vt:i4>
      </vt:variant>
      <vt:variant>
        <vt:i4>0</vt:i4>
      </vt:variant>
      <vt:variant>
        <vt:i4>5</vt:i4>
      </vt:variant>
      <vt:variant>
        <vt:lpwstr>http://www.nevo.co.il/law/70301</vt:lpwstr>
      </vt:variant>
      <vt:variant>
        <vt:lpwstr/>
      </vt:variant>
      <vt:variant>
        <vt:i4>6357094</vt:i4>
      </vt:variant>
      <vt:variant>
        <vt:i4>621</vt:i4>
      </vt:variant>
      <vt:variant>
        <vt:i4>0</vt:i4>
      </vt:variant>
      <vt:variant>
        <vt:i4>5</vt:i4>
      </vt:variant>
      <vt:variant>
        <vt:lpwstr>http://www.nevo.co.il/law/70301/34k</vt:lpwstr>
      </vt:variant>
      <vt:variant>
        <vt:lpwstr/>
      </vt:variant>
      <vt:variant>
        <vt:i4>7929956</vt:i4>
      </vt:variant>
      <vt:variant>
        <vt:i4>618</vt:i4>
      </vt:variant>
      <vt:variant>
        <vt:i4>0</vt:i4>
      </vt:variant>
      <vt:variant>
        <vt:i4>5</vt:i4>
      </vt:variant>
      <vt:variant>
        <vt:lpwstr>http://www.nevo.co.il/law/74372</vt:lpwstr>
      </vt:variant>
      <vt:variant>
        <vt:lpwstr/>
      </vt:variant>
      <vt:variant>
        <vt:i4>5242953</vt:i4>
      </vt:variant>
      <vt:variant>
        <vt:i4>615</vt:i4>
      </vt:variant>
      <vt:variant>
        <vt:i4>0</vt:i4>
      </vt:variant>
      <vt:variant>
        <vt:i4>5</vt:i4>
      </vt:variant>
      <vt:variant>
        <vt:lpwstr>http://www.nevo.co.il/law/74372/13.5</vt:lpwstr>
      </vt:variant>
      <vt:variant>
        <vt:lpwstr/>
      </vt:variant>
      <vt:variant>
        <vt:i4>7864423</vt:i4>
      </vt:variant>
      <vt:variant>
        <vt:i4>612</vt:i4>
      </vt:variant>
      <vt:variant>
        <vt:i4>0</vt:i4>
      </vt:variant>
      <vt:variant>
        <vt:i4>5</vt:i4>
      </vt:variant>
      <vt:variant>
        <vt:lpwstr>http://www.nevo.co.il/law/73015</vt:lpwstr>
      </vt:variant>
      <vt:variant>
        <vt:lpwstr/>
      </vt:variant>
      <vt:variant>
        <vt:i4>5701714</vt:i4>
      </vt:variant>
      <vt:variant>
        <vt:i4>609</vt:i4>
      </vt:variant>
      <vt:variant>
        <vt:i4>0</vt:i4>
      </vt:variant>
      <vt:variant>
        <vt:i4>5</vt:i4>
      </vt:variant>
      <vt:variant>
        <vt:lpwstr>http://www.nevo.co.il/law/73015/8</vt:lpwstr>
      </vt:variant>
      <vt:variant>
        <vt:lpwstr/>
      </vt:variant>
      <vt:variant>
        <vt:i4>6357094</vt:i4>
      </vt:variant>
      <vt:variant>
        <vt:i4>606</vt:i4>
      </vt:variant>
      <vt:variant>
        <vt:i4>0</vt:i4>
      </vt:variant>
      <vt:variant>
        <vt:i4>5</vt:i4>
      </vt:variant>
      <vt:variant>
        <vt:lpwstr>http://www.nevo.co.il/law/70301/34k</vt:lpwstr>
      </vt:variant>
      <vt:variant>
        <vt:lpwstr/>
      </vt:variant>
      <vt:variant>
        <vt:i4>7995492</vt:i4>
      </vt:variant>
      <vt:variant>
        <vt:i4>603</vt:i4>
      </vt:variant>
      <vt:variant>
        <vt:i4>0</vt:i4>
      </vt:variant>
      <vt:variant>
        <vt:i4>5</vt:i4>
      </vt:variant>
      <vt:variant>
        <vt:lpwstr>http://www.nevo.co.il/law/70301</vt:lpwstr>
      </vt:variant>
      <vt:variant>
        <vt:lpwstr/>
      </vt:variant>
      <vt:variant>
        <vt:i4>6357094</vt:i4>
      </vt:variant>
      <vt:variant>
        <vt:i4>600</vt:i4>
      </vt:variant>
      <vt:variant>
        <vt:i4>0</vt:i4>
      </vt:variant>
      <vt:variant>
        <vt:i4>5</vt:i4>
      </vt:variant>
      <vt:variant>
        <vt:lpwstr>http://www.nevo.co.il/law/70301/34k</vt:lpwstr>
      </vt:variant>
      <vt:variant>
        <vt:lpwstr/>
      </vt:variant>
      <vt:variant>
        <vt:i4>7995492</vt:i4>
      </vt:variant>
      <vt:variant>
        <vt:i4>597</vt:i4>
      </vt:variant>
      <vt:variant>
        <vt:i4>0</vt:i4>
      </vt:variant>
      <vt:variant>
        <vt:i4>5</vt:i4>
      </vt:variant>
      <vt:variant>
        <vt:lpwstr>http://www.nevo.co.il/law/70301</vt:lpwstr>
      </vt:variant>
      <vt:variant>
        <vt:lpwstr/>
      </vt:variant>
      <vt:variant>
        <vt:i4>6357094</vt:i4>
      </vt:variant>
      <vt:variant>
        <vt:i4>594</vt:i4>
      </vt:variant>
      <vt:variant>
        <vt:i4>0</vt:i4>
      </vt:variant>
      <vt:variant>
        <vt:i4>5</vt:i4>
      </vt:variant>
      <vt:variant>
        <vt:lpwstr>http://www.nevo.co.il/law/70301/34k</vt:lpwstr>
      </vt:variant>
      <vt:variant>
        <vt:lpwstr/>
      </vt:variant>
      <vt:variant>
        <vt:i4>97060242</vt:i4>
      </vt:variant>
      <vt:variant>
        <vt:i4>591</vt:i4>
      </vt:variant>
      <vt:variant>
        <vt:i4>0</vt:i4>
      </vt:variant>
      <vt:variant>
        <vt:i4>5</vt:i4>
      </vt:variant>
      <vt:variant>
        <vt:lpwstr>http://www.nevo.co.il/links/psika/?link=תפ 287/98</vt:lpwstr>
      </vt:variant>
      <vt:variant>
        <vt:lpwstr/>
      </vt:variant>
      <vt:variant>
        <vt:i4>3604599</vt:i4>
      </vt:variant>
      <vt:variant>
        <vt:i4>588</vt:i4>
      </vt:variant>
      <vt:variant>
        <vt:i4>0</vt:i4>
      </vt:variant>
      <vt:variant>
        <vt:i4>5</vt:i4>
      </vt:variant>
      <vt:variant>
        <vt:lpwstr>http://www.nevo.co.il/case/6143217</vt:lpwstr>
      </vt:variant>
      <vt:variant>
        <vt:lpwstr/>
      </vt:variant>
      <vt:variant>
        <vt:i4>3342455</vt:i4>
      </vt:variant>
      <vt:variant>
        <vt:i4>585</vt:i4>
      </vt:variant>
      <vt:variant>
        <vt:i4>0</vt:i4>
      </vt:variant>
      <vt:variant>
        <vt:i4>5</vt:i4>
      </vt:variant>
      <vt:variant>
        <vt:lpwstr>http://www.nevo.co.il/case/5674011</vt:lpwstr>
      </vt:variant>
      <vt:variant>
        <vt:lpwstr/>
      </vt:variant>
      <vt:variant>
        <vt:i4>3145843</vt:i4>
      </vt:variant>
      <vt:variant>
        <vt:i4>582</vt:i4>
      </vt:variant>
      <vt:variant>
        <vt:i4>0</vt:i4>
      </vt:variant>
      <vt:variant>
        <vt:i4>5</vt:i4>
      </vt:variant>
      <vt:variant>
        <vt:lpwstr>http://www.nevo.co.il/case/6094936</vt:lpwstr>
      </vt:variant>
      <vt:variant>
        <vt:lpwstr/>
      </vt:variant>
      <vt:variant>
        <vt:i4>97453456</vt:i4>
      </vt:variant>
      <vt:variant>
        <vt:i4>579</vt:i4>
      </vt:variant>
      <vt:variant>
        <vt:i4>0</vt:i4>
      </vt:variant>
      <vt:variant>
        <vt:i4>5</vt:i4>
      </vt:variant>
      <vt:variant>
        <vt:lpwstr>http://www.nevo.co.il/links/psika/?link=עפ 320/99</vt:lpwstr>
      </vt:variant>
      <vt:variant>
        <vt:lpwstr/>
      </vt:variant>
      <vt:variant>
        <vt:i4>3145843</vt:i4>
      </vt:variant>
      <vt:variant>
        <vt:i4>576</vt:i4>
      </vt:variant>
      <vt:variant>
        <vt:i4>0</vt:i4>
      </vt:variant>
      <vt:variant>
        <vt:i4>5</vt:i4>
      </vt:variant>
      <vt:variant>
        <vt:lpwstr>http://www.nevo.co.il/case/6094936</vt:lpwstr>
      </vt:variant>
      <vt:variant>
        <vt:lpwstr/>
      </vt:variant>
      <vt:variant>
        <vt:i4>3866736</vt:i4>
      </vt:variant>
      <vt:variant>
        <vt:i4>573</vt:i4>
      </vt:variant>
      <vt:variant>
        <vt:i4>0</vt:i4>
      </vt:variant>
      <vt:variant>
        <vt:i4>5</vt:i4>
      </vt:variant>
      <vt:variant>
        <vt:lpwstr>http://www.nevo.co.il/case/17923103</vt:lpwstr>
      </vt:variant>
      <vt:variant>
        <vt:lpwstr/>
      </vt:variant>
      <vt:variant>
        <vt:i4>7995492</vt:i4>
      </vt:variant>
      <vt:variant>
        <vt:i4>570</vt:i4>
      </vt:variant>
      <vt:variant>
        <vt:i4>0</vt:i4>
      </vt:variant>
      <vt:variant>
        <vt:i4>5</vt:i4>
      </vt:variant>
      <vt:variant>
        <vt:lpwstr>http://www.nevo.co.il/law/70301</vt:lpwstr>
      </vt:variant>
      <vt:variant>
        <vt:lpwstr/>
      </vt:variant>
      <vt:variant>
        <vt:i4>6553702</vt:i4>
      </vt:variant>
      <vt:variant>
        <vt:i4>567</vt:i4>
      </vt:variant>
      <vt:variant>
        <vt:i4>0</vt:i4>
      </vt:variant>
      <vt:variant>
        <vt:i4>5</vt:i4>
      </vt:variant>
      <vt:variant>
        <vt:lpwstr>http://www.nevo.co.il/law/70301/31</vt:lpwstr>
      </vt:variant>
      <vt:variant>
        <vt:lpwstr/>
      </vt:variant>
      <vt:variant>
        <vt:i4>7995492</vt:i4>
      </vt:variant>
      <vt:variant>
        <vt:i4>564</vt:i4>
      </vt:variant>
      <vt:variant>
        <vt:i4>0</vt:i4>
      </vt:variant>
      <vt:variant>
        <vt:i4>5</vt:i4>
      </vt:variant>
      <vt:variant>
        <vt:lpwstr>http://www.nevo.co.il/law/70301</vt:lpwstr>
      </vt:variant>
      <vt:variant>
        <vt:lpwstr/>
      </vt:variant>
      <vt:variant>
        <vt:i4>393228</vt:i4>
      </vt:variant>
      <vt:variant>
        <vt:i4>561</vt:i4>
      </vt:variant>
      <vt:variant>
        <vt:i4>0</vt:i4>
      </vt:variant>
      <vt:variant>
        <vt:i4>5</vt:i4>
      </vt:variant>
      <vt:variant>
        <vt:lpwstr>http://www.nevo.co.il/law/70301/34jg</vt:lpwstr>
      </vt:variant>
      <vt:variant>
        <vt:lpwstr/>
      </vt:variant>
      <vt:variant>
        <vt:i4>8061025</vt:i4>
      </vt:variant>
      <vt:variant>
        <vt:i4>558</vt:i4>
      </vt:variant>
      <vt:variant>
        <vt:i4>0</vt:i4>
      </vt:variant>
      <vt:variant>
        <vt:i4>5</vt:i4>
      </vt:variant>
      <vt:variant>
        <vt:lpwstr>http://www.nevo.co.il/law/71600</vt:lpwstr>
      </vt:variant>
      <vt:variant>
        <vt:lpwstr/>
      </vt:variant>
      <vt:variant>
        <vt:i4>5505025</vt:i4>
      </vt:variant>
      <vt:variant>
        <vt:i4>555</vt:i4>
      </vt:variant>
      <vt:variant>
        <vt:i4>0</vt:i4>
      </vt:variant>
      <vt:variant>
        <vt:i4>5</vt:i4>
      </vt:variant>
      <vt:variant>
        <vt:lpwstr>http://www.nevo.co.il/law/71600/2.b.3</vt:lpwstr>
      </vt:variant>
      <vt:variant>
        <vt:lpwstr/>
      </vt:variant>
      <vt:variant>
        <vt:i4>7995492</vt:i4>
      </vt:variant>
      <vt:variant>
        <vt:i4>552</vt:i4>
      </vt:variant>
      <vt:variant>
        <vt:i4>0</vt:i4>
      </vt:variant>
      <vt:variant>
        <vt:i4>5</vt:i4>
      </vt:variant>
      <vt:variant>
        <vt:lpwstr>http://www.nevo.co.il/law/70301</vt:lpwstr>
      </vt:variant>
      <vt:variant>
        <vt:lpwstr/>
      </vt:variant>
      <vt:variant>
        <vt:i4>6357088</vt:i4>
      </vt:variant>
      <vt:variant>
        <vt:i4>549</vt:i4>
      </vt:variant>
      <vt:variant>
        <vt:i4>0</vt:i4>
      </vt:variant>
      <vt:variant>
        <vt:i4>5</vt:i4>
      </vt:variant>
      <vt:variant>
        <vt:lpwstr>http://www.nevo.co.il/law/71600/15a</vt:lpwstr>
      </vt:variant>
      <vt:variant>
        <vt:lpwstr/>
      </vt:variant>
      <vt:variant>
        <vt:i4>6291552</vt:i4>
      </vt:variant>
      <vt:variant>
        <vt:i4>546</vt:i4>
      </vt:variant>
      <vt:variant>
        <vt:i4>0</vt:i4>
      </vt:variant>
      <vt:variant>
        <vt:i4>5</vt:i4>
      </vt:variant>
      <vt:variant>
        <vt:lpwstr>http://www.nevo.co.il/law/71600/14</vt:lpwstr>
      </vt:variant>
      <vt:variant>
        <vt:lpwstr/>
      </vt:variant>
      <vt:variant>
        <vt:i4>5505105</vt:i4>
      </vt:variant>
      <vt:variant>
        <vt:i4>543</vt:i4>
      </vt:variant>
      <vt:variant>
        <vt:i4>0</vt:i4>
      </vt:variant>
      <vt:variant>
        <vt:i4>5</vt:i4>
      </vt:variant>
      <vt:variant>
        <vt:lpwstr>http://www.nevo.co.il/law/71600/9</vt:lpwstr>
      </vt:variant>
      <vt:variant>
        <vt:lpwstr/>
      </vt:variant>
      <vt:variant>
        <vt:i4>8061025</vt:i4>
      </vt:variant>
      <vt:variant>
        <vt:i4>540</vt:i4>
      </vt:variant>
      <vt:variant>
        <vt:i4>0</vt:i4>
      </vt:variant>
      <vt:variant>
        <vt:i4>5</vt:i4>
      </vt:variant>
      <vt:variant>
        <vt:lpwstr>http://www.nevo.co.il/law/71600</vt:lpwstr>
      </vt:variant>
      <vt:variant>
        <vt:lpwstr/>
      </vt:variant>
      <vt:variant>
        <vt:i4>3407990</vt:i4>
      </vt:variant>
      <vt:variant>
        <vt:i4>537</vt:i4>
      </vt:variant>
      <vt:variant>
        <vt:i4>0</vt:i4>
      </vt:variant>
      <vt:variant>
        <vt:i4>5</vt:i4>
      </vt:variant>
      <vt:variant>
        <vt:lpwstr>http://www.nevo.co.il/case/5959420</vt:lpwstr>
      </vt:variant>
      <vt:variant>
        <vt:lpwstr/>
      </vt:variant>
      <vt:variant>
        <vt:i4>3539069</vt:i4>
      </vt:variant>
      <vt:variant>
        <vt:i4>534</vt:i4>
      </vt:variant>
      <vt:variant>
        <vt:i4>0</vt:i4>
      </vt:variant>
      <vt:variant>
        <vt:i4>5</vt:i4>
      </vt:variant>
      <vt:variant>
        <vt:lpwstr>http://www.nevo.co.il/case/5876175</vt:lpwstr>
      </vt:variant>
      <vt:variant>
        <vt:lpwstr/>
      </vt:variant>
      <vt:variant>
        <vt:i4>3145844</vt:i4>
      </vt:variant>
      <vt:variant>
        <vt:i4>531</vt:i4>
      </vt:variant>
      <vt:variant>
        <vt:i4>0</vt:i4>
      </vt:variant>
      <vt:variant>
        <vt:i4>5</vt:i4>
      </vt:variant>
      <vt:variant>
        <vt:lpwstr>http://www.nevo.co.il/case/5743140</vt:lpwstr>
      </vt:variant>
      <vt:variant>
        <vt:lpwstr/>
      </vt:variant>
      <vt:variant>
        <vt:i4>3342452</vt:i4>
      </vt:variant>
      <vt:variant>
        <vt:i4>528</vt:i4>
      </vt:variant>
      <vt:variant>
        <vt:i4>0</vt:i4>
      </vt:variant>
      <vt:variant>
        <vt:i4>5</vt:i4>
      </vt:variant>
      <vt:variant>
        <vt:lpwstr>http://www.nevo.co.il/case/5819116</vt:lpwstr>
      </vt:variant>
      <vt:variant>
        <vt:lpwstr/>
      </vt:variant>
      <vt:variant>
        <vt:i4>8061025</vt:i4>
      </vt:variant>
      <vt:variant>
        <vt:i4>525</vt:i4>
      </vt:variant>
      <vt:variant>
        <vt:i4>0</vt:i4>
      </vt:variant>
      <vt:variant>
        <vt:i4>5</vt:i4>
      </vt:variant>
      <vt:variant>
        <vt:lpwstr>http://www.nevo.co.il/law/71600</vt:lpwstr>
      </vt:variant>
      <vt:variant>
        <vt:lpwstr/>
      </vt:variant>
      <vt:variant>
        <vt:i4>3604601</vt:i4>
      </vt:variant>
      <vt:variant>
        <vt:i4>522</vt:i4>
      </vt:variant>
      <vt:variant>
        <vt:i4>0</vt:i4>
      </vt:variant>
      <vt:variant>
        <vt:i4>5</vt:i4>
      </vt:variant>
      <vt:variant>
        <vt:lpwstr>http://www.nevo.co.il/case/5970742</vt:lpwstr>
      </vt:variant>
      <vt:variant>
        <vt:lpwstr/>
      </vt:variant>
      <vt:variant>
        <vt:i4>7995492</vt:i4>
      </vt:variant>
      <vt:variant>
        <vt:i4>519</vt:i4>
      </vt:variant>
      <vt:variant>
        <vt:i4>0</vt:i4>
      </vt:variant>
      <vt:variant>
        <vt:i4>5</vt:i4>
      </vt:variant>
      <vt:variant>
        <vt:lpwstr>http://www.nevo.co.il/law/70301</vt:lpwstr>
      </vt:variant>
      <vt:variant>
        <vt:lpwstr/>
      </vt:variant>
      <vt:variant>
        <vt:i4>7995492</vt:i4>
      </vt:variant>
      <vt:variant>
        <vt:i4>516</vt:i4>
      </vt:variant>
      <vt:variant>
        <vt:i4>0</vt:i4>
      </vt:variant>
      <vt:variant>
        <vt:i4>5</vt:i4>
      </vt:variant>
      <vt:variant>
        <vt:lpwstr>http://www.nevo.co.il/law/70301</vt:lpwstr>
      </vt:variant>
      <vt:variant>
        <vt:lpwstr/>
      </vt:variant>
      <vt:variant>
        <vt:i4>131085</vt:i4>
      </vt:variant>
      <vt:variant>
        <vt:i4>513</vt:i4>
      </vt:variant>
      <vt:variant>
        <vt:i4>0</vt:i4>
      </vt:variant>
      <vt:variant>
        <vt:i4>5</vt:i4>
      </vt:variant>
      <vt:variant>
        <vt:lpwstr>http://www.nevo.co.il/law/70301/34kc</vt:lpwstr>
      </vt:variant>
      <vt:variant>
        <vt:lpwstr/>
      </vt:variant>
      <vt:variant>
        <vt:i4>8061025</vt:i4>
      </vt:variant>
      <vt:variant>
        <vt:i4>510</vt:i4>
      </vt:variant>
      <vt:variant>
        <vt:i4>0</vt:i4>
      </vt:variant>
      <vt:variant>
        <vt:i4>5</vt:i4>
      </vt:variant>
      <vt:variant>
        <vt:lpwstr>http://www.nevo.co.il/law/71600</vt:lpwstr>
      </vt:variant>
      <vt:variant>
        <vt:lpwstr/>
      </vt:variant>
      <vt:variant>
        <vt:i4>7995492</vt:i4>
      </vt:variant>
      <vt:variant>
        <vt:i4>507</vt:i4>
      </vt:variant>
      <vt:variant>
        <vt:i4>0</vt:i4>
      </vt:variant>
      <vt:variant>
        <vt:i4>5</vt:i4>
      </vt:variant>
      <vt:variant>
        <vt:lpwstr>http://www.nevo.co.il/law/70301</vt:lpwstr>
      </vt:variant>
      <vt:variant>
        <vt:lpwstr/>
      </vt:variant>
      <vt:variant>
        <vt:i4>6357094</vt:i4>
      </vt:variant>
      <vt:variant>
        <vt:i4>504</vt:i4>
      </vt:variant>
      <vt:variant>
        <vt:i4>0</vt:i4>
      </vt:variant>
      <vt:variant>
        <vt:i4>5</vt:i4>
      </vt:variant>
      <vt:variant>
        <vt:lpwstr>http://www.nevo.co.il/law/70301/34e</vt:lpwstr>
      </vt:variant>
      <vt:variant>
        <vt:lpwstr/>
      </vt:variant>
      <vt:variant>
        <vt:i4>3211391</vt:i4>
      </vt:variant>
      <vt:variant>
        <vt:i4>501</vt:i4>
      </vt:variant>
      <vt:variant>
        <vt:i4>0</vt:i4>
      </vt:variant>
      <vt:variant>
        <vt:i4>5</vt:i4>
      </vt:variant>
      <vt:variant>
        <vt:lpwstr>http://www.nevo.co.il/case/5857041</vt:lpwstr>
      </vt:variant>
      <vt:variant>
        <vt:lpwstr/>
      </vt:variant>
      <vt:variant>
        <vt:i4>3539069</vt:i4>
      </vt:variant>
      <vt:variant>
        <vt:i4>498</vt:i4>
      </vt:variant>
      <vt:variant>
        <vt:i4>0</vt:i4>
      </vt:variant>
      <vt:variant>
        <vt:i4>5</vt:i4>
      </vt:variant>
      <vt:variant>
        <vt:lpwstr>http://www.nevo.co.il/case/5727190</vt:lpwstr>
      </vt:variant>
      <vt:variant>
        <vt:lpwstr/>
      </vt:variant>
      <vt:variant>
        <vt:i4>7995492</vt:i4>
      </vt:variant>
      <vt:variant>
        <vt:i4>495</vt:i4>
      </vt:variant>
      <vt:variant>
        <vt:i4>0</vt:i4>
      </vt:variant>
      <vt:variant>
        <vt:i4>5</vt:i4>
      </vt:variant>
      <vt:variant>
        <vt:lpwstr>http://www.nevo.co.il/law/70301</vt:lpwstr>
      </vt:variant>
      <vt:variant>
        <vt:lpwstr/>
      </vt:variant>
      <vt:variant>
        <vt:i4>393228</vt:i4>
      </vt:variant>
      <vt:variant>
        <vt:i4>492</vt:i4>
      </vt:variant>
      <vt:variant>
        <vt:i4>0</vt:i4>
      </vt:variant>
      <vt:variant>
        <vt:i4>5</vt:i4>
      </vt:variant>
      <vt:variant>
        <vt:lpwstr>http://www.nevo.co.il/law/70301/34jg</vt:lpwstr>
      </vt:variant>
      <vt:variant>
        <vt:lpwstr/>
      </vt:variant>
      <vt:variant>
        <vt:i4>7995492</vt:i4>
      </vt:variant>
      <vt:variant>
        <vt:i4>489</vt:i4>
      </vt:variant>
      <vt:variant>
        <vt:i4>0</vt:i4>
      </vt:variant>
      <vt:variant>
        <vt:i4>5</vt:i4>
      </vt:variant>
      <vt:variant>
        <vt:lpwstr>http://www.nevo.co.il/law/70301</vt:lpwstr>
      </vt:variant>
      <vt:variant>
        <vt:lpwstr/>
      </vt:variant>
      <vt:variant>
        <vt:i4>3539063</vt:i4>
      </vt:variant>
      <vt:variant>
        <vt:i4>486</vt:i4>
      </vt:variant>
      <vt:variant>
        <vt:i4>0</vt:i4>
      </vt:variant>
      <vt:variant>
        <vt:i4>5</vt:i4>
      </vt:variant>
      <vt:variant>
        <vt:lpwstr>http://www.nevo.co.il/case/6015465</vt:lpwstr>
      </vt:variant>
      <vt:variant>
        <vt:lpwstr/>
      </vt:variant>
      <vt:variant>
        <vt:i4>7995492</vt:i4>
      </vt:variant>
      <vt:variant>
        <vt:i4>483</vt:i4>
      </vt:variant>
      <vt:variant>
        <vt:i4>0</vt:i4>
      </vt:variant>
      <vt:variant>
        <vt:i4>5</vt:i4>
      </vt:variant>
      <vt:variant>
        <vt:lpwstr>http://www.nevo.co.il/law/70301</vt:lpwstr>
      </vt:variant>
      <vt:variant>
        <vt:lpwstr/>
      </vt:variant>
      <vt:variant>
        <vt:i4>7995492</vt:i4>
      </vt:variant>
      <vt:variant>
        <vt:i4>480</vt:i4>
      </vt:variant>
      <vt:variant>
        <vt:i4>0</vt:i4>
      </vt:variant>
      <vt:variant>
        <vt:i4>5</vt:i4>
      </vt:variant>
      <vt:variant>
        <vt:lpwstr>http://www.nevo.co.il/law/70301</vt:lpwstr>
      </vt:variant>
      <vt:variant>
        <vt:lpwstr/>
      </vt:variant>
      <vt:variant>
        <vt:i4>7995492</vt:i4>
      </vt:variant>
      <vt:variant>
        <vt:i4>477</vt:i4>
      </vt:variant>
      <vt:variant>
        <vt:i4>0</vt:i4>
      </vt:variant>
      <vt:variant>
        <vt:i4>5</vt:i4>
      </vt:variant>
      <vt:variant>
        <vt:lpwstr>http://www.nevo.co.il/law/70301</vt:lpwstr>
      </vt:variant>
      <vt:variant>
        <vt:lpwstr/>
      </vt:variant>
      <vt:variant>
        <vt:i4>393228</vt:i4>
      </vt:variant>
      <vt:variant>
        <vt:i4>474</vt:i4>
      </vt:variant>
      <vt:variant>
        <vt:i4>0</vt:i4>
      </vt:variant>
      <vt:variant>
        <vt:i4>5</vt:i4>
      </vt:variant>
      <vt:variant>
        <vt:lpwstr>http://www.nevo.co.il/law/70301/34jg</vt:lpwstr>
      </vt:variant>
      <vt:variant>
        <vt:lpwstr/>
      </vt:variant>
      <vt:variant>
        <vt:i4>7995492</vt:i4>
      </vt:variant>
      <vt:variant>
        <vt:i4>471</vt:i4>
      </vt:variant>
      <vt:variant>
        <vt:i4>0</vt:i4>
      </vt:variant>
      <vt:variant>
        <vt:i4>5</vt:i4>
      </vt:variant>
      <vt:variant>
        <vt:lpwstr>http://www.nevo.co.il/law/70301</vt:lpwstr>
      </vt:variant>
      <vt:variant>
        <vt:lpwstr/>
      </vt:variant>
      <vt:variant>
        <vt:i4>7405621</vt:i4>
      </vt:variant>
      <vt:variant>
        <vt:i4>468</vt:i4>
      </vt:variant>
      <vt:variant>
        <vt:i4>0</vt:i4>
      </vt:variant>
      <vt:variant>
        <vt:i4>5</vt:i4>
      </vt:variant>
      <vt:variant>
        <vt:lpwstr>http://www.nevo.co.il/safrut/book/5505</vt:lpwstr>
      </vt:variant>
      <vt:variant>
        <vt:lpwstr/>
      </vt:variant>
      <vt:variant>
        <vt:i4>7995492</vt:i4>
      </vt:variant>
      <vt:variant>
        <vt:i4>465</vt:i4>
      </vt:variant>
      <vt:variant>
        <vt:i4>0</vt:i4>
      </vt:variant>
      <vt:variant>
        <vt:i4>5</vt:i4>
      </vt:variant>
      <vt:variant>
        <vt:lpwstr>http://www.nevo.co.il/law/70301</vt:lpwstr>
      </vt:variant>
      <vt:variant>
        <vt:lpwstr/>
      </vt:variant>
      <vt:variant>
        <vt:i4>7995492</vt:i4>
      </vt:variant>
      <vt:variant>
        <vt:i4>462</vt:i4>
      </vt:variant>
      <vt:variant>
        <vt:i4>0</vt:i4>
      </vt:variant>
      <vt:variant>
        <vt:i4>5</vt:i4>
      </vt:variant>
      <vt:variant>
        <vt:lpwstr>http://www.nevo.co.il/law/70301</vt:lpwstr>
      </vt:variant>
      <vt:variant>
        <vt:lpwstr/>
      </vt:variant>
      <vt:variant>
        <vt:i4>2097193</vt:i4>
      </vt:variant>
      <vt:variant>
        <vt:i4>459</vt:i4>
      </vt:variant>
      <vt:variant>
        <vt:i4>0</vt:i4>
      </vt:variant>
      <vt:variant>
        <vt:i4>5</vt:i4>
      </vt:variant>
      <vt:variant>
        <vt:lpwstr>http://www.nevo.co.il/safrut/bookgroup/412</vt:lpwstr>
      </vt:variant>
      <vt:variant>
        <vt:lpwstr/>
      </vt:variant>
      <vt:variant>
        <vt:i4>3997808</vt:i4>
      </vt:variant>
      <vt:variant>
        <vt:i4>456</vt:i4>
      </vt:variant>
      <vt:variant>
        <vt:i4>0</vt:i4>
      </vt:variant>
      <vt:variant>
        <vt:i4>5</vt:i4>
      </vt:variant>
      <vt:variant>
        <vt:lpwstr>http://www.nevo.co.il/case/17932079</vt:lpwstr>
      </vt:variant>
      <vt:variant>
        <vt:lpwstr/>
      </vt:variant>
      <vt:variant>
        <vt:i4>3997810</vt:i4>
      </vt:variant>
      <vt:variant>
        <vt:i4>453</vt:i4>
      </vt:variant>
      <vt:variant>
        <vt:i4>0</vt:i4>
      </vt:variant>
      <vt:variant>
        <vt:i4>5</vt:i4>
      </vt:variant>
      <vt:variant>
        <vt:lpwstr>http://www.nevo.co.il/case/17941546</vt:lpwstr>
      </vt:variant>
      <vt:variant>
        <vt:lpwstr/>
      </vt:variant>
      <vt:variant>
        <vt:i4>7602225</vt:i4>
      </vt:variant>
      <vt:variant>
        <vt:i4>450</vt:i4>
      </vt:variant>
      <vt:variant>
        <vt:i4>0</vt:i4>
      </vt:variant>
      <vt:variant>
        <vt:i4>5</vt:i4>
      </vt:variant>
      <vt:variant>
        <vt:lpwstr>http://www.nevo.co.il/safrut/book/3227</vt:lpwstr>
      </vt:variant>
      <vt:variant>
        <vt:lpwstr/>
      </vt:variant>
      <vt:variant>
        <vt:i4>8192058</vt:i4>
      </vt:variant>
      <vt:variant>
        <vt:i4>447</vt:i4>
      </vt:variant>
      <vt:variant>
        <vt:i4>0</vt:i4>
      </vt:variant>
      <vt:variant>
        <vt:i4>5</vt:i4>
      </vt:variant>
      <vt:variant>
        <vt:lpwstr>http://www.nevo.co.il/safrut/book/2884</vt:lpwstr>
      </vt:variant>
      <vt:variant>
        <vt:lpwstr/>
      </vt:variant>
      <vt:variant>
        <vt:i4>6488171</vt:i4>
      </vt:variant>
      <vt:variant>
        <vt:i4>444</vt:i4>
      </vt:variant>
      <vt:variant>
        <vt:i4>0</vt:i4>
      </vt:variant>
      <vt:variant>
        <vt:i4>5</vt:i4>
      </vt:variant>
      <vt:variant>
        <vt:lpwstr>http://www.nevo.co.il/law/74903/62</vt:lpwstr>
      </vt:variant>
      <vt:variant>
        <vt:lpwstr/>
      </vt:variant>
      <vt:variant>
        <vt:i4>8257646</vt:i4>
      </vt:variant>
      <vt:variant>
        <vt:i4>441</vt:i4>
      </vt:variant>
      <vt:variant>
        <vt:i4>0</vt:i4>
      </vt:variant>
      <vt:variant>
        <vt:i4>5</vt:i4>
      </vt:variant>
      <vt:variant>
        <vt:lpwstr>http://www.nevo.co.il/law/74903</vt:lpwstr>
      </vt:variant>
      <vt:variant>
        <vt:lpwstr/>
      </vt:variant>
      <vt:variant>
        <vt:i4>6815848</vt:i4>
      </vt:variant>
      <vt:variant>
        <vt:i4>438</vt:i4>
      </vt:variant>
      <vt:variant>
        <vt:i4>0</vt:i4>
      </vt:variant>
      <vt:variant>
        <vt:i4>5</vt:i4>
      </vt:variant>
      <vt:variant>
        <vt:lpwstr>http://www.nevo.co.il/law/74903/59</vt:lpwstr>
      </vt:variant>
      <vt:variant>
        <vt:lpwstr/>
      </vt:variant>
      <vt:variant>
        <vt:i4>3407985</vt:i4>
      </vt:variant>
      <vt:variant>
        <vt:i4>435</vt:i4>
      </vt:variant>
      <vt:variant>
        <vt:i4>0</vt:i4>
      </vt:variant>
      <vt:variant>
        <vt:i4>5</vt:i4>
      </vt:variant>
      <vt:variant>
        <vt:lpwstr>http://www.nevo.co.il/case/5762700</vt:lpwstr>
      </vt:variant>
      <vt:variant>
        <vt:lpwstr/>
      </vt:variant>
      <vt:variant>
        <vt:i4>393228</vt:i4>
      </vt:variant>
      <vt:variant>
        <vt:i4>432</vt:i4>
      </vt:variant>
      <vt:variant>
        <vt:i4>0</vt:i4>
      </vt:variant>
      <vt:variant>
        <vt:i4>5</vt:i4>
      </vt:variant>
      <vt:variant>
        <vt:lpwstr>http://www.nevo.co.il/law/70301/34jg</vt:lpwstr>
      </vt:variant>
      <vt:variant>
        <vt:lpwstr/>
      </vt:variant>
      <vt:variant>
        <vt:i4>5505025</vt:i4>
      </vt:variant>
      <vt:variant>
        <vt:i4>429</vt:i4>
      </vt:variant>
      <vt:variant>
        <vt:i4>0</vt:i4>
      </vt:variant>
      <vt:variant>
        <vt:i4>5</vt:i4>
      </vt:variant>
      <vt:variant>
        <vt:lpwstr>http://www.nevo.co.il/law/71600/2.b.3</vt:lpwstr>
      </vt:variant>
      <vt:variant>
        <vt:lpwstr/>
      </vt:variant>
      <vt:variant>
        <vt:i4>97060242</vt:i4>
      </vt:variant>
      <vt:variant>
        <vt:i4>426</vt:i4>
      </vt:variant>
      <vt:variant>
        <vt:i4>0</vt:i4>
      </vt:variant>
      <vt:variant>
        <vt:i4>5</vt:i4>
      </vt:variant>
      <vt:variant>
        <vt:lpwstr>http://www.nevo.co.il/links/psika/?link=תפ 287/98</vt:lpwstr>
      </vt:variant>
      <vt:variant>
        <vt:lpwstr/>
      </vt:variant>
      <vt:variant>
        <vt:i4>7995491</vt:i4>
      </vt:variant>
      <vt:variant>
        <vt:i4>423</vt:i4>
      </vt:variant>
      <vt:variant>
        <vt:i4>0</vt:i4>
      </vt:variant>
      <vt:variant>
        <vt:i4>5</vt:i4>
      </vt:variant>
      <vt:variant>
        <vt:lpwstr>http://www.nevo.co.il/law/71600/2.a</vt:lpwstr>
      </vt:variant>
      <vt:variant>
        <vt:lpwstr/>
      </vt:variant>
      <vt:variant>
        <vt:i4>5505025</vt:i4>
      </vt:variant>
      <vt:variant>
        <vt:i4>420</vt:i4>
      </vt:variant>
      <vt:variant>
        <vt:i4>0</vt:i4>
      </vt:variant>
      <vt:variant>
        <vt:i4>5</vt:i4>
      </vt:variant>
      <vt:variant>
        <vt:lpwstr>http://www.nevo.co.il/law/71600/2.b.3</vt:lpwstr>
      </vt:variant>
      <vt:variant>
        <vt:lpwstr/>
      </vt:variant>
      <vt:variant>
        <vt:i4>5505025</vt:i4>
      </vt:variant>
      <vt:variant>
        <vt:i4>417</vt:i4>
      </vt:variant>
      <vt:variant>
        <vt:i4>0</vt:i4>
      </vt:variant>
      <vt:variant>
        <vt:i4>5</vt:i4>
      </vt:variant>
      <vt:variant>
        <vt:lpwstr>http://www.nevo.co.il/law/71600/2.b.3</vt:lpwstr>
      </vt:variant>
      <vt:variant>
        <vt:lpwstr/>
      </vt:variant>
      <vt:variant>
        <vt:i4>8061025</vt:i4>
      </vt:variant>
      <vt:variant>
        <vt:i4>414</vt:i4>
      </vt:variant>
      <vt:variant>
        <vt:i4>0</vt:i4>
      </vt:variant>
      <vt:variant>
        <vt:i4>5</vt:i4>
      </vt:variant>
      <vt:variant>
        <vt:lpwstr>http://www.nevo.co.il/law/71600</vt:lpwstr>
      </vt:variant>
      <vt:variant>
        <vt:lpwstr/>
      </vt:variant>
      <vt:variant>
        <vt:i4>5505025</vt:i4>
      </vt:variant>
      <vt:variant>
        <vt:i4>411</vt:i4>
      </vt:variant>
      <vt:variant>
        <vt:i4>0</vt:i4>
      </vt:variant>
      <vt:variant>
        <vt:i4>5</vt:i4>
      </vt:variant>
      <vt:variant>
        <vt:lpwstr>http://www.nevo.co.il/law/71600/2.b.3</vt:lpwstr>
      </vt:variant>
      <vt:variant>
        <vt:lpwstr/>
      </vt:variant>
      <vt:variant>
        <vt:i4>7995491</vt:i4>
      </vt:variant>
      <vt:variant>
        <vt:i4>408</vt:i4>
      </vt:variant>
      <vt:variant>
        <vt:i4>0</vt:i4>
      </vt:variant>
      <vt:variant>
        <vt:i4>5</vt:i4>
      </vt:variant>
      <vt:variant>
        <vt:lpwstr>http://www.nevo.co.il/law/71600/2.b</vt:lpwstr>
      </vt:variant>
      <vt:variant>
        <vt:lpwstr/>
      </vt:variant>
      <vt:variant>
        <vt:i4>7340094</vt:i4>
      </vt:variant>
      <vt:variant>
        <vt:i4>405</vt:i4>
      </vt:variant>
      <vt:variant>
        <vt:i4>0</vt:i4>
      </vt:variant>
      <vt:variant>
        <vt:i4>5</vt:i4>
      </vt:variant>
      <vt:variant>
        <vt:lpwstr>http://www.nevo.co.il/safrut/book/6889</vt:lpwstr>
      </vt:variant>
      <vt:variant>
        <vt:lpwstr/>
      </vt:variant>
      <vt:variant>
        <vt:i4>3145841</vt:i4>
      </vt:variant>
      <vt:variant>
        <vt:i4>402</vt:i4>
      </vt:variant>
      <vt:variant>
        <vt:i4>0</vt:i4>
      </vt:variant>
      <vt:variant>
        <vt:i4>5</vt:i4>
      </vt:variant>
      <vt:variant>
        <vt:lpwstr>http://www.nevo.co.il/case/6055102</vt:lpwstr>
      </vt:variant>
      <vt:variant>
        <vt:lpwstr/>
      </vt:variant>
      <vt:variant>
        <vt:i4>7995491</vt:i4>
      </vt:variant>
      <vt:variant>
        <vt:i4>399</vt:i4>
      </vt:variant>
      <vt:variant>
        <vt:i4>0</vt:i4>
      </vt:variant>
      <vt:variant>
        <vt:i4>5</vt:i4>
      </vt:variant>
      <vt:variant>
        <vt:lpwstr>http://www.nevo.co.il/law/71600/2.b</vt:lpwstr>
      </vt:variant>
      <vt:variant>
        <vt:lpwstr/>
      </vt:variant>
      <vt:variant>
        <vt:i4>3932287</vt:i4>
      </vt:variant>
      <vt:variant>
        <vt:i4>396</vt:i4>
      </vt:variant>
      <vt:variant>
        <vt:i4>0</vt:i4>
      </vt:variant>
      <vt:variant>
        <vt:i4>5</vt:i4>
      </vt:variant>
      <vt:variant>
        <vt:lpwstr>http://www.nevo.co.il/case/5813901</vt:lpwstr>
      </vt:variant>
      <vt:variant>
        <vt:lpwstr/>
      </vt:variant>
      <vt:variant>
        <vt:i4>7995491</vt:i4>
      </vt:variant>
      <vt:variant>
        <vt:i4>393</vt:i4>
      </vt:variant>
      <vt:variant>
        <vt:i4>0</vt:i4>
      </vt:variant>
      <vt:variant>
        <vt:i4>5</vt:i4>
      </vt:variant>
      <vt:variant>
        <vt:lpwstr>http://www.nevo.co.il/law/71600/2.b</vt:lpwstr>
      </vt:variant>
      <vt:variant>
        <vt:lpwstr/>
      </vt:variant>
      <vt:variant>
        <vt:i4>3932280</vt:i4>
      </vt:variant>
      <vt:variant>
        <vt:i4>390</vt:i4>
      </vt:variant>
      <vt:variant>
        <vt:i4>0</vt:i4>
      </vt:variant>
      <vt:variant>
        <vt:i4>5</vt:i4>
      </vt:variant>
      <vt:variant>
        <vt:lpwstr>http://www.nevo.co.il/case/5910850</vt:lpwstr>
      </vt:variant>
      <vt:variant>
        <vt:lpwstr/>
      </vt:variant>
      <vt:variant>
        <vt:i4>8061025</vt:i4>
      </vt:variant>
      <vt:variant>
        <vt:i4>387</vt:i4>
      </vt:variant>
      <vt:variant>
        <vt:i4>0</vt:i4>
      </vt:variant>
      <vt:variant>
        <vt:i4>5</vt:i4>
      </vt:variant>
      <vt:variant>
        <vt:lpwstr>http://www.nevo.co.il/law/71600</vt:lpwstr>
      </vt:variant>
      <vt:variant>
        <vt:lpwstr/>
      </vt:variant>
      <vt:variant>
        <vt:i4>7995491</vt:i4>
      </vt:variant>
      <vt:variant>
        <vt:i4>384</vt:i4>
      </vt:variant>
      <vt:variant>
        <vt:i4>0</vt:i4>
      </vt:variant>
      <vt:variant>
        <vt:i4>5</vt:i4>
      </vt:variant>
      <vt:variant>
        <vt:lpwstr>http://www.nevo.co.il/law/71600/2.b</vt:lpwstr>
      </vt:variant>
      <vt:variant>
        <vt:lpwstr/>
      </vt:variant>
      <vt:variant>
        <vt:i4>4521988</vt:i4>
      </vt:variant>
      <vt:variant>
        <vt:i4>381</vt:i4>
      </vt:variant>
      <vt:variant>
        <vt:i4>0</vt:i4>
      </vt:variant>
      <vt:variant>
        <vt:i4>5</vt:i4>
      </vt:variant>
      <vt:variant>
        <vt:lpwstr>http://www.nevo.co.il/safrut/book/444</vt:lpwstr>
      </vt:variant>
      <vt:variant>
        <vt:lpwstr/>
      </vt:variant>
      <vt:variant>
        <vt:i4>7995491</vt:i4>
      </vt:variant>
      <vt:variant>
        <vt:i4>378</vt:i4>
      </vt:variant>
      <vt:variant>
        <vt:i4>0</vt:i4>
      </vt:variant>
      <vt:variant>
        <vt:i4>5</vt:i4>
      </vt:variant>
      <vt:variant>
        <vt:lpwstr>http://www.nevo.co.il/law/71600/2.a</vt:lpwstr>
      </vt:variant>
      <vt:variant>
        <vt:lpwstr/>
      </vt:variant>
      <vt:variant>
        <vt:i4>8061025</vt:i4>
      </vt:variant>
      <vt:variant>
        <vt:i4>375</vt:i4>
      </vt:variant>
      <vt:variant>
        <vt:i4>0</vt:i4>
      </vt:variant>
      <vt:variant>
        <vt:i4>5</vt:i4>
      </vt:variant>
      <vt:variant>
        <vt:lpwstr>http://www.nevo.co.il/law/71600</vt:lpwstr>
      </vt:variant>
      <vt:variant>
        <vt:lpwstr/>
      </vt:variant>
      <vt:variant>
        <vt:i4>7995491</vt:i4>
      </vt:variant>
      <vt:variant>
        <vt:i4>372</vt:i4>
      </vt:variant>
      <vt:variant>
        <vt:i4>0</vt:i4>
      </vt:variant>
      <vt:variant>
        <vt:i4>5</vt:i4>
      </vt:variant>
      <vt:variant>
        <vt:lpwstr>http://www.nevo.co.il/law/71600/2.b</vt:lpwstr>
      </vt:variant>
      <vt:variant>
        <vt:lpwstr/>
      </vt:variant>
      <vt:variant>
        <vt:i4>7995491</vt:i4>
      </vt:variant>
      <vt:variant>
        <vt:i4>369</vt:i4>
      </vt:variant>
      <vt:variant>
        <vt:i4>0</vt:i4>
      </vt:variant>
      <vt:variant>
        <vt:i4>5</vt:i4>
      </vt:variant>
      <vt:variant>
        <vt:lpwstr>http://www.nevo.co.il/law/71600/2.a</vt:lpwstr>
      </vt:variant>
      <vt:variant>
        <vt:lpwstr/>
      </vt:variant>
      <vt:variant>
        <vt:i4>7995491</vt:i4>
      </vt:variant>
      <vt:variant>
        <vt:i4>366</vt:i4>
      </vt:variant>
      <vt:variant>
        <vt:i4>0</vt:i4>
      </vt:variant>
      <vt:variant>
        <vt:i4>5</vt:i4>
      </vt:variant>
      <vt:variant>
        <vt:lpwstr>http://www.nevo.co.il/law/71600/2.a</vt:lpwstr>
      </vt:variant>
      <vt:variant>
        <vt:lpwstr/>
      </vt:variant>
      <vt:variant>
        <vt:i4>7995491</vt:i4>
      </vt:variant>
      <vt:variant>
        <vt:i4>363</vt:i4>
      </vt:variant>
      <vt:variant>
        <vt:i4>0</vt:i4>
      </vt:variant>
      <vt:variant>
        <vt:i4>5</vt:i4>
      </vt:variant>
      <vt:variant>
        <vt:lpwstr>http://www.nevo.co.il/law/71600/2.b</vt:lpwstr>
      </vt:variant>
      <vt:variant>
        <vt:lpwstr/>
      </vt:variant>
      <vt:variant>
        <vt:i4>7995491</vt:i4>
      </vt:variant>
      <vt:variant>
        <vt:i4>360</vt:i4>
      </vt:variant>
      <vt:variant>
        <vt:i4>0</vt:i4>
      </vt:variant>
      <vt:variant>
        <vt:i4>5</vt:i4>
      </vt:variant>
      <vt:variant>
        <vt:lpwstr>http://www.nevo.co.il/law/71600/2.b</vt:lpwstr>
      </vt:variant>
      <vt:variant>
        <vt:lpwstr/>
      </vt:variant>
      <vt:variant>
        <vt:i4>8061025</vt:i4>
      </vt:variant>
      <vt:variant>
        <vt:i4>357</vt:i4>
      </vt:variant>
      <vt:variant>
        <vt:i4>0</vt:i4>
      </vt:variant>
      <vt:variant>
        <vt:i4>5</vt:i4>
      </vt:variant>
      <vt:variant>
        <vt:lpwstr>http://www.nevo.co.il/law/71600</vt:lpwstr>
      </vt:variant>
      <vt:variant>
        <vt:lpwstr/>
      </vt:variant>
      <vt:variant>
        <vt:i4>7995491</vt:i4>
      </vt:variant>
      <vt:variant>
        <vt:i4>354</vt:i4>
      </vt:variant>
      <vt:variant>
        <vt:i4>0</vt:i4>
      </vt:variant>
      <vt:variant>
        <vt:i4>5</vt:i4>
      </vt:variant>
      <vt:variant>
        <vt:lpwstr>http://www.nevo.co.il/law/71600/2.b</vt:lpwstr>
      </vt:variant>
      <vt:variant>
        <vt:lpwstr/>
      </vt:variant>
      <vt:variant>
        <vt:i4>3997813</vt:i4>
      </vt:variant>
      <vt:variant>
        <vt:i4>351</vt:i4>
      </vt:variant>
      <vt:variant>
        <vt:i4>0</vt:i4>
      </vt:variant>
      <vt:variant>
        <vt:i4>5</vt:i4>
      </vt:variant>
      <vt:variant>
        <vt:lpwstr>http://www.nevo.co.il/case/5959419</vt:lpwstr>
      </vt:variant>
      <vt:variant>
        <vt:lpwstr/>
      </vt:variant>
      <vt:variant>
        <vt:i4>5505105</vt:i4>
      </vt:variant>
      <vt:variant>
        <vt:i4>348</vt:i4>
      </vt:variant>
      <vt:variant>
        <vt:i4>0</vt:i4>
      </vt:variant>
      <vt:variant>
        <vt:i4>5</vt:i4>
      </vt:variant>
      <vt:variant>
        <vt:lpwstr>http://www.nevo.co.il/law/71600/2</vt:lpwstr>
      </vt:variant>
      <vt:variant>
        <vt:lpwstr/>
      </vt:variant>
      <vt:variant>
        <vt:i4>5505105</vt:i4>
      </vt:variant>
      <vt:variant>
        <vt:i4>345</vt:i4>
      </vt:variant>
      <vt:variant>
        <vt:i4>0</vt:i4>
      </vt:variant>
      <vt:variant>
        <vt:i4>5</vt:i4>
      </vt:variant>
      <vt:variant>
        <vt:lpwstr>http://www.nevo.co.il/law/71600/2</vt:lpwstr>
      </vt:variant>
      <vt:variant>
        <vt:lpwstr/>
      </vt:variant>
      <vt:variant>
        <vt:i4>3932280</vt:i4>
      </vt:variant>
      <vt:variant>
        <vt:i4>342</vt:i4>
      </vt:variant>
      <vt:variant>
        <vt:i4>0</vt:i4>
      </vt:variant>
      <vt:variant>
        <vt:i4>5</vt:i4>
      </vt:variant>
      <vt:variant>
        <vt:lpwstr>http://www.nevo.co.il/case/17930849</vt:lpwstr>
      </vt:variant>
      <vt:variant>
        <vt:lpwstr/>
      </vt:variant>
      <vt:variant>
        <vt:i4>7536692</vt:i4>
      </vt:variant>
      <vt:variant>
        <vt:i4>339</vt:i4>
      </vt:variant>
      <vt:variant>
        <vt:i4>0</vt:i4>
      </vt:variant>
      <vt:variant>
        <vt:i4>5</vt:i4>
      </vt:variant>
      <vt:variant>
        <vt:lpwstr>http://www.nevo.co.il/safrut/book/3173</vt:lpwstr>
      </vt:variant>
      <vt:variant>
        <vt:lpwstr/>
      </vt:variant>
      <vt:variant>
        <vt:i4>98238547</vt:i4>
      </vt:variant>
      <vt:variant>
        <vt:i4>336</vt:i4>
      </vt:variant>
      <vt:variant>
        <vt:i4>0</vt:i4>
      </vt:variant>
      <vt:variant>
        <vt:i4>5</vt:i4>
      </vt:variant>
      <vt:variant>
        <vt:lpwstr>http://www.nevo.co.il/links/psika/?link=בגץ 3544/94</vt:lpwstr>
      </vt:variant>
      <vt:variant>
        <vt:lpwstr/>
      </vt:variant>
      <vt:variant>
        <vt:i4>3866743</vt:i4>
      </vt:variant>
      <vt:variant>
        <vt:i4>333</vt:i4>
      </vt:variant>
      <vt:variant>
        <vt:i4>0</vt:i4>
      </vt:variant>
      <vt:variant>
        <vt:i4>5</vt:i4>
      </vt:variant>
      <vt:variant>
        <vt:lpwstr>http://www.nevo.co.il/case/17943004</vt:lpwstr>
      </vt:variant>
      <vt:variant>
        <vt:lpwstr/>
      </vt:variant>
      <vt:variant>
        <vt:i4>7798835</vt:i4>
      </vt:variant>
      <vt:variant>
        <vt:i4>330</vt:i4>
      </vt:variant>
      <vt:variant>
        <vt:i4>0</vt:i4>
      </vt:variant>
      <vt:variant>
        <vt:i4>5</vt:i4>
      </vt:variant>
      <vt:variant>
        <vt:lpwstr>http://www.nevo.co.il/safrut/book/6650</vt:lpwstr>
      </vt:variant>
      <vt:variant>
        <vt:lpwstr/>
      </vt:variant>
      <vt:variant>
        <vt:i4>4063357</vt:i4>
      </vt:variant>
      <vt:variant>
        <vt:i4>327</vt:i4>
      </vt:variant>
      <vt:variant>
        <vt:i4>0</vt:i4>
      </vt:variant>
      <vt:variant>
        <vt:i4>5</vt:i4>
      </vt:variant>
      <vt:variant>
        <vt:lpwstr>http://www.nevo.co.il/case/5821108</vt:lpwstr>
      </vt:variant>
      <vt:variant>
        <vt:lpwstr/>
      </vt:variant>
      <vt:variant>
        <vt:i4>8061025</vt:i4>
      </vt:variant>
      <vt:variant>
        <vt:i4>324</vt:i4>
      </vt:variant>
      <vt:variant>
        <vt:i4>0</vt:i4>
      </vt:variant>
      <vt:variant>
        <vt:i4>5</vt:i4>
      </vt:variant>
      <vt:variant>
        <vt:lpwstr>http://www.nevo.co.il/law/71600</vt:lpwstr>
      </vt:variant>
      <vt:variant>
        <vt:lpwstr/>
      </vt:variant>
      <vt:variant>
        <vt:i4>8061025</vt:i4>
      </vt:variant>
      <vt:variant>
        <vt:i4>321</vt:i4>
      </vt:variant>
      <vt:variant>
        <vt:i4>0</vt:i4>
      </vt:variant>
      <vt:variant>
        <vt:i4>5</vt:i4>
      </vt:variant>
      <vt:variant>
        <vt:lpwstr>http://www.nevo.co.il/law/71600</vt:lpwstr>
      </vt:variant>
      <vt:variant>
        <vt:lpwstr/>
      </vt:variant>
      <vt:variant>
        <vt:i4>7995491</vt:i4>
      </vt:variant>
      <vt:variant>
        <vt:i4>318</vt:i4>
      </vt:variant>
      <vt:variant>
        <vt:i4>0</vt:i4>
      </vt:variant>
      <vt:variant>
        <vt:i4>5</vt:i4>
      </vt:variant>
      <vt:variant>
        <vt:lpwstr>http://www.nevo.co.il/law/71600/2.b</vt:lpwstr>
      </vt:variant>
      <vt:variant>
        <vt:lpwstr/>
      </vt:variant>
      <vt:variant>
        <vt:i4>7995491</vt:i4>
      </vt:variant>
      <vt:variant>
        <vt:i4>315</vt:i4>
      </vt:variant>
      <vt:variant>
        <vt:i4>0</vt:i4>
      </vt:variant>
      <vt:variant>
        <vt:i4>5</vt:i4>
      </vt:variant>
      <vt:variant>
        <vt:lpwstr>http://www.nevo.co.il/law/71600/2.b</vt:lpwstr>
      </vt:variant>
      <vt:variant>
        <vt:lpwstr/>
      </vt:variant>
      <vt:variant>
        <vt:i4>393228</vt:i4>
      </vt:variant>
      <vt:variant>
        <vt:i4>312</vt:i4>
      </vt:variant>
      <vt:variant>
        <vt:i4>0</vt:i4>
      </vt:variant>
      <vt:variant>
        <vt:i4>5</vt:i4>
      </vt:variant>
      <vt:variant>
        <vt:lpwstr>http://www.nevo.co.il/law/70301/34jg</vt:lpwstr>
      </vt:variant>
      <vt:variant>
        <vt:lpwstr/>
      </vt:variant>
      <vt:variant>
        <vt:i4>8061025</vt:i4>
      </vt:variant>
      <vt:variant>
        <vt:i4>309</vt:i4>
      </vt:variant>
      <vt:variant>
        <vt:i4>0</vt:i4>
      </vt:variant>
      <vt:variant>
        <vt:i4>5</vt:i4>
      </vt:variant>
      <vt:variant>
        <vt:lpwstr>http://www.nevo.co.il/law/71600</vt:lpwstr>
      </vt:variant>
      <vt:variant>
        <vt:lpwstr/>
      </vt:variant>
      <vt:variant>
        <vt:i4>7995491</vt:i4>
      </vt:variant>
      <vt:variant>
        <vt:i4>306</vt:i4>
      </vt:variant>
      <vt:variant>
        <vt:i4>0</vt:i4>
      </vt:variant>
      <vt:variant>
        <vt:i4>5</vt:i4>
      </vt:variant>
      <vt:variant>
        <vt:lpwstr>http://www.nevo.co.il/law/71600/2.b</vt:lpwstr>
      </vt:variant>
      <vt:variant>
        <vt:lpwstr/>
      </vt:variant>
      <vt:variant>
        <vt:i4>7995491</vt:i4>
      </vt:variant>
      <vt:variant>
        <vt:i4>303</vt:i4>
      </vt:variant>
      <vt:variant>
        <vt:i4>0</vt:i4>
      </vt:variant>
      <vt:variant>
        <vt:i4>5</vt:i4>
      </vt:variant>
      <vt:variant>
        <vt:lpwstr>http://www.nevo.co.il/law/71600/2.b</vt:lpwstr>
      </vt:variant>
      <vt:variant>
        <vt:lpwstr/>
      </vt:variant>
      <vt:variant>
        <vt:i4>8061025</vt:i4>
      </vt:variant>
      <vt:variant>
        <vt:i4>300</vt:i4>
      </vt:variant>
      <vt:variant>
        <vt:i4>0</vt:i4>
      </vt:variant>
      <vt:variant>
        <vt:i4>5</vt:i4>
      </vt:variant>
      <vt:variant>
        <vt:lpwstr>http://www.nevo.co.il/law/71600</vt:lpwstr>
      </vt:variant>
      <vt:variant>
        <vt:lpwstr/>
      </vt:variant>
      <vt:variant>
        <vt:i4>5505105</vt:i4>
      </vt:variant>
      <vt:variant>
        <vt:i4>297</vt:i4>
      </vt:variant>
      <vt:variant>
        <vt:i4>0</vt:i4>
      </vt:variant>
      <vt:variant>
        <vt:i4>5</vt:i4>
      </vt:variant>
      <vt:variant>
        <vt:lpwstr>http://www.nevo.co.il/law/71600/2</vt:lpwstr>
      </vt:variant>
      <vt:variant>
        <vt:lpwstr/>
      </vt:variant>
      <vt:variant>
        <vt:i4>6357094</vt:i4>
      </vt:variant>
      <vt:variant>
        <vt:i4>294</vt:i4>
      </vt:variant>
      <vt:variant>
        <vt:i4>0</vt:i4>
      </vt:variant>
      <vt:variant>
        <vt:i4>5</vt:i4>
      </vt:variant>
      <vt:variant>
        <vt:lpwstr>http://www.nevo.co.il/law/70301/34k</vt:lpwstr>
      </vt:variant>
      <vt:variant>
        <vt:lpwstr/>
      </vt:variant>
      <vt:variant>
        <vt:i4>393228</vt:i4>
      </vt:variant>
      <vt:variant>
        <vt:i4>291</vt:i4>
      </vt:variant>
      <vt:variant>
        <vt:i4>0</vt:i4>
      </vt:variant>
      <vt:variant>
        <vt:i4>5</vt:i4>
      </vt:variant>
      <vt:variant>
        <vt:lpwstr>http://www.nevo.co.il/law/70301/34jg</vt:lpwstr>
      </vt:variant>
      <vt:variant>
        <vt:lpwstr/>
      </vt:variant>
      <vt:variant>
        <vt:i4>6357094</vt:i4>
      </vt:variant>
      <vt:variant>
        <vt:i4>288</vt:i4>
      </vt:variant>
      <vt:variant>
        <vt:i4>0</vt:i4>
      </vt:variant>
      <vt:variant>
        <vt:i4>5</vt:i4>
      </vt:variant>
      <vt:variant>
        <vt:lpwstr>http://www.nevo.co.il/law/70301/34k</vt:lpwstr>
      </vt:variant>
      <vt:variant>
        <vt:lpwstr/>
      </vt:variant>
      <vt:variant>
        <vt:i4>7864420</vt:i4>
      </vt:variant>
      <vt:variant>
        <vt:i4>285</vt:i4>
      </vt:variant>
      <vt:variant>
        <vt:i4>0</vt:i4>
      </vt:variant>
      <vt:variant>
        <vt:i4>5</vt:i4>
      </vt:variant>
      <vt:variant>
        <vt:lpwstr>http://www.nevo.co.il/law/70320</vt:lpwstr>
      </vt:variant>
      <vt:variant>
        <vt:lpwstr/>
      </vt:variant>
      <vt:variant>
        <vt:i4>8061025</vt:i4>
      </vt:variant>
      <vt:variant>
        <vt:i4>282</vt:i4>
      </vt:variant>
      <vt:variant>
        <vt:i4>0</vt:i4>
      </vt:variant>
      <vt:variant>
        <vt:i4>5</vt:i4>
      </vt:variant>
      <vt:variant>
        <vt:lpwstr>http://www.nevo.co.il/law/71600</vt:lpwstr>
      </vt:variant>
      <vt:variant>
        <vt:lpwstr/>
      </vt:variant>
      <vt:variant>
        <vt:i4>7995491</vt:i4>
      </vt:variant>
      <vt:variant>
        <vt:i4>279</vt:i4>
      </vt:variant>
      <vt:variant>
        <vt:i4>0</vt:i4>
      </vt:variant>
      <vt:variant>
        <vt:i4>5</vt:i4>
      </vt:variant>
      <vt:variant>
        <vt:lpwstr>http://www.nevo.co.il/law/71600/2.b</vt:lpwstr>
      </vt:variant>
      <vt:variant>
        <vt:lpwstr/>
      </vt:variant>
      <vt:variant>
        <vt:i4>393228</vt:i4>
      </vt:variant>
      <vt:variant>
        <vt:i4>276</vt:i4>
      </vt:variant>
      <vt:variant>
        <vt:i4>0</vt:i4>
      </vt:variant>
      <vt:variant>
        <vt:i4>5</vt:i4>
      </vt:variant>
      <vt:variant>
        <vt:lpwstr>http://www.nevo.co.il/law/70301/34jg</vt:lpwstr>
      </vt:variant>
      <vt:variant>
        <vt:lpwstr/>
      </vt:variant>
      <vt:variant>
        <vt:i4>5505025</vt:i4>
      </vt:variant>
      <vt:variant>
        <vt:i4>273</vt:i4>
      </vt:variant>
      <vt:variant>
        <vt:i4>0</vt:i4>
      </vt:variant>
      <vt:variant>
        <vt:i4>5</vt:i4>
      </vt:variant>
      <vt:variant>
        <vt:lpwstr>http://www.nevo.co.il/law/71600/2.b.3</vt:lpwstr>
      </vt:variant>
      <vt:variant>
        <vt:lpwstr/>
      </vt:variant>
      <vt:variant>
        <vt:i4>5505025</vt:i4>
      </vt:variant>
      <vt:variant>
        <vt:i4>270</vt:i4>
      </vt:variant>
      <vt:variant>
        <vt:i4>0</vt:i4>
      </vt:variant>
      <vt:variant>
        <vt:i4>5</vt:i4>
      </vt:variant>
      <vt:variant>
        <vt:lpwstr>http://www.nevo.co.il/law/71600/2.b.3</vt:lpwstr>
      </vt:variant>
      <vt:variant>
        <vt:lpwstr/>
      </vt:variant>
      <vt:variant>
        <vt:i4>8061025</vt:i4>
      </vt:variant>
      <vt:variant>
        <vt:i4>267</vt:i4>
      </vt:variant>
      <vt:variant>
        <vt:i4>0</vt:i4>
      </vt:variant>
      <vt:variant>
        <vt:i4>5</vt:i4>
      </vt:variant>
      <vt:variant>
        <vt:lpwstr>http://www.nevo.co.il/law/71600</vt:lpwstr>
      </vt:variant>
      <vt:variant>
        <vt:lpwstr/>
      </vt:variant>
      <vt:variant>
        <vt:i4>7995491</vt:i4>
      </vt:variant>
      <vt:variant>
        <vt:i4>264</vt:i4>
      </vt:variant>
      <vt:variant>
        <vt:i4>0</vt:i4>
      </vt:variant>
      <vt:variant>
        <vt:i4>5</vt:i4>
      </vt:variant>
      <vt:variant>
        <vt:lpwstr>http://www.nevo.co.il/law/71600/2.a</vt:lpwstr>
      </vt:variant>
      <vt:variant>
        <vt:lpwstr/>
      </vt:variant>
      <vt:variant>
        <vt:i4>8061025</vt:i4>
      </vt:variant>
      <vt:variant>
        <vt:i4>261</vt:i4>
      </vt:variant>
      <vt:variant>
        <vt:i4>0</vt:i4>
      </vt:variant>
      <vt:variant>
        <vt:i4>5</vt:i4>
      </vt:variant>
      <vt:variant>
        <vt:lpwstr>http://www.nevo.co.il/law/71600</vt:lpwstr>
      </vt:variant>
      <vt:variant>
        <vt:lpwstr/>
      </vt:variant>
      <vt:variant>
        <vt:i4>5505105</vt:i4>
      </vt:variant>
      <vt:variant>
        <vt:i4>258</vt:i4>
      </vt:variant>
      <vt:variant>
        <vt:i4>0</vt:i4>
      </vt:variant>
      <vt:variant>
        <vt:i4>5</vt:i4>
      </vt:variant>
      <vt:variant>
        <vt:lpwstr>http://www.nevo.co.il/law/71600/2</vt:lpwstr>
      </vt:variant>
      <vt:variant>
        <vt:lpwstr/>
      </vt:variant>
      <vt:variant>
        <vt:i4>97060242</vt:i4>
      </vt:variant>
      <vt:variant>
        <vt:i4>255</vt:i4>
      </vt:variant>
      <vt:variant>
        <vt:i4>0</vt:i4>
      </vt:variant>
      <vt:variant>
        <vt:i4>5</vt:i4>
      </vt:variant>
      <vt:variant>
        <vt:lpwstr>http://www.nevo.co.il/links/psika/?link=תפ 287/98</vt:lpwstr>
      </vt:variant>
      <vt:variant>
        <vt:lpwstr/>
      </vt:variant>
      <vt:variant>
        <vt:i4>97060242</vt:i4>
      </vt:variant>
      <vt:variant>
        <vt:i4>252</vt:i4>
      </vt:variant>
      <vt:variant>
        <vt:i4>0</vt:i4>
      </vt:variant>
      <vt:variant>
        <vt:i4>5</vt:i4>
      </vt:variant>
      <vt:variant>
        <vt:lpwstr>http://www.nevo.co.il/links/psika/?link=תפ 287/98</vt:lpwstr>
      </vt:variant>
      <vt:variant>
        <vt:lpwstr/>
      </vt:variant>
      <vt:variant>
        <vt:i4>7995492</vt:i4>
      </vt:variant>
      <vt:variant>
        <vt:i4>249</vt:i4>
      </vt:variant>
      <vt:variant>
        <vt:i4>0</vt:i4>
      </vt:variant>
      <vt:variant>
        <vt:i4>5</vt:i4>
      </vt:variant>
      <vt:variant>
        <vt:lpwstr>http://www.nevo.co.il/law/70301</vt:lpwstr>
      </vt:variant>
      <vt:variant>
        <vt:lpwstr/>
      </vt:variant>
      <vt:variant>
        <vt:i4>393228</vt:i4>
      </vt:variant>
      <vt:variant>
        <vt:i4>246</vt:i4>
      </vt:variant>
      <vt:variant>
        <vt:i4>0</vt:i4>
      </vt:variant>
      <vt:variant>
        <vt:i4>5</vt:i4>
      </vt:variant>
      <vt:variant>
        <vt:lpwstr>http://www.nevo.co.il/law/70301/34jg</vt:lpwstr>
      </vt:variant>
      <vt:variant>
        <vt:lpwstr/>
      </vt:variant>
      <vt:variant>
        <vt:i4>8061025</vt:i4>
      </vt:variant>
      <vt:variant>
        <vt:i4>243</vt:i4>
      </vt:variant>
      <vt:variant>
        <vt:i4>0</vt:i4>
      </vt:variant>
      <vt:variant>
        <vt:i4>5</vt:i4>
      </vt:variant>
      <vt:variant>
        <vt:lpwstr>http://www.nevo.co.il/law/71600</vt:lpwstr>
      </vt:variant>
      <vt:variant>
        <vt:lpwstr/>
      </vt:variant>
      <vt:variant>
        <vt:i4>5505105</vt:i4>
      </vt:variant>
      <vt:variant>
        <vt:i4>240</vt:i4>
      </vt:variant>
      <vt:variant>
        <vt:i4>0</vt:i4>
      </vt:variant>
      <vt:variant>
        <vt:i4>5</vt:i4>
      </vt:variant>
      <vt:variant>
        <vt:lpwstr>http://www.nevo.co.il/law/71600/2</vt:lpwstr>
      </vt:variant>
      <vt:variant>
        <vt:lpwstr/>
      </vt:variant>
      <vt:variant>
        <vt:i4>7077989</vt:i4>
      </vt:variant>
      <vt:variant>
        <vt:i4>237</vt:i4>
      </vt:variant>
      <vt:variant>
        <vt:i4>0</vt:i4>
      </vt:variant>
      <vt:variant>
        <vt:i4>5</vt:i4>
      </vt:variant>
      <vt:variant>
        <vt:lpwstr>http://www.nevo.co.il/law/71600/48</vt:lpwstr>
      </vt:variant>
      <vt:variant>
        <vt:lpwstr/>
      </vt:variant>
      <vt:variant>
        <vt:i4>5505105</vt:i4>
      </vt:variant>
      <vt:variant>
        <vt:i4>234</vt:i4>
      </vt:variant>
      <vt:variant>
        <vt:i4>0</vt:i4>
      </vt:variant>
      <vt:variant>
        <vt:i4>5</vt:i4>
      </vt:variant>
      <vt:variant>
        <vt:lpwstr>http://www.nevo.co.il/law/71600/4</vt:lpwstr>
      </vt:variant>
      <vt:variant>
        <vt:lpwstr/>
      </vt:variant>
      <vt:variant>
        <vt:i4>5505025</vt:i4>
      </vt:variant>
      <vt:variant>
        <vt:i4>231</vt:i4>
      </vt:variant>
      <vt:variant>
        <vt:i4>0</vt:i4>
      </vt:variant>
      <vt:variant>
        <vt:i4>5</vt:i4>
      </vt:variant>
      <vt:variant>
        <vt:lpwstr>http://www.nevo.co.il/law/71600/2.b.3</vt:lpwstr>
      </vt:variant>
      <vt:variant>
        <vt:lpwstr/>
      </vt:variant>
      <vt:variant>
        <vt:i4>7995491</vt:i4>
      </vt:variant>
      <vt:variant>
        <vt:i4>228</vt:i4>
      </vt:variant>
      <vt:variant>
        <vt:i4>0</vt:i4>
      </vt:variant>
      <vt:variant>
        <vt:i4>5</vt:i4>
      </vt:variant>
      <vt:variant>
        <vt:lpwstr>http://www.nevo.co.il/law/71600/2.a</vt:lpwstr>
      </vt:variant>
      <vt:variant>
        <vt:lpwstr/>
      </vt:variant>
      <vt:variant>
        <vt:i4>8061025</vt:i4>
      </vt:variant>
      <vt:variant>
        <vt:i4>225</vt:i4>
      </vt:variant>
      <vt:variant>
        <vt:i4>0</vt:i4>
      </vt:variant>
      <vt:variant>
        <vt:i4>5</vt:i4>
      </vt:variant>
      <vt:variant>
        <vt:lpwstr>http://www.nevo.co.il/law/71600</vt:lpwstr>
      </vt:variant>
      <vt:variant>
        <vt:lpwstr/>
      </vt:variant>
      <vt:variant>
        <vt:i4>3342437</vt:i4>
      </vt:variant>
      <vt:variant>
        <vt:i4>222</vt:i4>
      </vt:variant>
      <vt:variant>
        <vt:i4>0</vt:i4>
      </vt:variant>
      <vt:variant>
        <vt:i4>5</vt:i4>
      </vt:variant>
      <vt:variant>
        <vt:lpwstr>http://www.nevo.co.il/law/71600/47.a.1</vt:lpwstr>
      </vt:variant>
      <vt:variant>
        <vt:lpwstr/>
      </vt:variant>
      <vt:variant>
        <vt:i4>97060242</vt:i4>
      </vt:variant>
      <vt:variant>
        <vt:i4>219</vt:i4>
      </vt:variant>
      <vt:variant>
        <vt:i4>0</vt:i4>
      </vt:variant>
      <vt:variant>
        <vt:i4>5</vt:i4>
      </vt:variant>
      <vt:variant>
        <vt:lpwstr>http://www.nevo.co.il/links/psika/?link=תפ 287/98</vt:lpwstr>
      </vt:variant>
      <vt:variant>
        <vt:lpwstr/>
      </vt:variant>
      <vt:variant>
        <vt:i4>7602225</vt:i4>
      </vt:variant>
      <vt:variant>
        <vt:i4>216</vt:i4>
      </vt:variant>
      <vt:variant>
        <vt:i4>0</vt:i4>
      </vt:variant>
      <vt:variant>
        <vt:i4>5</vt:i4>
      </vt:variant>
      <vt:variant>
        <vt:lpwstr>http://www.nevo.co.il/safrut/book/10052</vt:lpwstr>
      </vt:variant>
      <vt:variant>
        <vt:lpwstr/>
      </vt:variant>
      <vt:variant>
        <vt:i4>7995492</vt:i4>
      </vt:variant>
      <vt:variant>
        <vt:i4>213</vt:i4>
      </vt:variant>
      <vt:variant>
        <vt:i4>0</vt:i4>
      </vt:variant>
      <vt:variant>
        <vt:i4>5</vt:i4>
      </vt:variant>
      <vt:variant>
        <vt:lpwstr>http://www.nevo.co.il/law/70301</vt:lpwstr>
      </vt:variant>
      <vt:variant>
        <vt:lpwstr/>
      </vt:variant>
      <vt:variant>
        <vt:i4>7405621</vt:i4>
      </vt:variant>
      <vt:variant>
        <vt:i4>210</vt:i4>
      </vt:variant>
      <vt:variant>
        <vt:i4>0</vt:i4>
      </vt:variant>
      <vt:variant>
        <vt:i4>5</vt:i4>
      </vt:variant>
      <vt:variant>
        <vt:lpwstr>http://www.nevo.co.il/safrut/book/5505</vt:lpwstr>
      </vt:variant>
      <vt:variant>
        <vt:lpwstr/>
      </vt:variant>
      <vt:variant>
        <vt:i4>7602225</vt:i4>
      </vt:variant>
      <vt:variant>
        <vt:i4>207</vt:i4>
      </vt:variant>
      <vt:variant>
        <vt:i4>0</vt:i4>
      </vt:variant>
      <vt:variant>
        <vt:i4>5</vt:i4>
      </vt:variant>
      <vt:variant>
        <vt:lpwstr>http://www.nevo.co.il/safrut/book/3227</vt:lpwstr>
      </vt:variant>
      <vt:variant>
        <vt:lpwstr/>
      </vt:variant>
      <vt:variant>
        <vt:i4>8192058</vt:i4>
      </vt:variant>
      <vt:variant>
        <vt:i4>204</vt:i4>
      </vt:variant>
      <vt:variant>
        <vt:i4>0</vt:i4>
      </vt:variant>
      <vt:variant>
        <vt:i4>5</vt:i4>
      </vt:variant>
      <vt:variant>
        <vt:lpwstr>http://www.nevo.co.il/safrut/book/2884</vt:lpwstr>
      </vt:variant>
      <vt:variant>
        <vt:lpwstr/>
      </vt:variant>
      <vt:variant>
        <vt:i4>7340094</vt:i4>
      </vt:variant>
      <vt:variant>
        <vt:i4>201</vt:i4>
      </vt:variant>
      <vt:variant>
        <vt:i4>0</vt:i4>
      </vt:variant>
      <vt:variant>
        <vt:i4>5</vt:i4>
      </vt:variant>
      <vt:variant>
        <vt:lpwstr>http://www.nevo.co.il/safrut/book/6889</vt:lpwstr>
      </vt:variant>
      <vt:variant>
        <vt:lpwstr/>
      </vt:variant>
      <vt:variant>
        <vt:i4>4521988</vt:i4>
      </vt:variant>
      <vt:variant>
        <vt:i4>198</vt:i4>
      </vt:variant>
      <vt:variant>
        <vt:i4>0</vt:i4>
      </vt:variant>
      <vt:variant>
        <vt:i4>5</vt:i4>
      </vt:variant>
      <vt:variant>
        <vt:lpwstr>http://www.nevo.co.il/safrut/book/444</vt:lpwstr>
      </vt:variant>
      <vt:variant>
        <vt:lpwstr/>
      </vt:variant>
      <vt:variant>
        <vt:i4>7798835</vt:i4>
      </vt:variant>
      <vt:variant>
        <vt:i4>195</vt:i4>
      </vt:variant>
      <vt:variant>
        <vt:i4>0</vt:i4>
      </vt:variant>
      <vt:variant>
        <vt:i4>5</vt:i4>
      </vt:variant>
      <vt:variant>
        <vt:lpwstr>http://www.nevo.co.il/safrut/book/6650</vt:lpwstr>
      </vt:variant>
      <vt:variant>
        <vt:lpwstr/>
      </vt:variant>
      <vt:variant>
        <vt:i4>7995492</vt:i4>
      </vt:variant>
      <vt:variant>
        <vt:i4>192</vt:i4>
      </vt:variant>
      <vt:variant>
        <vt:i4>0</vt:i4>
      </vt:variant>
      <vt:variant>
        <vt:i4>5</vt:i4>
      </vt:variant>
      <vt:variant>
        <vt:lpwstr>http://www.nevo.co.il/law/70301</vt:lpwstr>
      </vt:variant>
      <vt:variant>
        <vt:lpwstr/>
      </vt:variant>
      <vt:variant>
        <vt:i4>2097193</vt:i4>
      </vt:variant>
      <vt:variant>
        <vt:i4>189</vt:i4>
      </vt:variant>
      <vt:variant>
        <vt:i4>0</vt:i4>
      </vt:variant>
      <vt:variant>
        <vt:i4>5</vt:i4>
      </vt:variant>
      <vt:variant>
        <vt:lpwstr>http://www.nevo.co.il/safrut/bookgroup/412</vt:lpwstr>
      </vt:variant>
      <vt:variant>
        <vt:lpwstr/>
      </vt:variant>
      <vt:variant>
        <vt:i4>97125778</vt:i4>
      </vt:variant>
      <vt:variant>
        <vt:i4>186</vt:i4>
      </vt:variant>
      <vt:variant>
        <vt:i4>0</vt:i4>
      </vt:variant>
      <vt:variant>
        <vt:i4>5</vt:i4>
      </vt:variant>
      <vt:variant>
        <vt:lpwstr>http://www.nevo.co.il/links/psika/?link=תפ 385/98</vt:lpwstr>
      </vt:variant>
      <vt:variant>
        <vt:lpwstr/>
      </vt:variant>
      <vt:variant>
        <vt:i4>97060242</vt:i4>
      </vt:variant>
      <vt:variant>
        <vt:i4>183</vt:i4>
      </vt:variant>
      <vt:variant>
        <vt:i4>0</vt:i4>
      </vt:variant>
      <vt:variant>
        <vt:i4>5</vt:i4>
      </vt:variant>
      <vt:variant>
        <vt:lpwstr>http://www.nevo.co.il/links/psika/?link=תפ 287/98</vt:lpwstr>
      </vt:variant>
      <vt:variant>
        <vt:lpwstr/>
      </vt:variant>
      <vt:variant>
        <vt:i4>4063351</vt:i4>
      </vt:variant>
      <vt:variant>
        <vt:i4>180</vt:i4>
      </vt:variant>
      <vt:variant>
        <vt:i4>0</vt:i4>
      </vt:variant>
      <vt:variant>
        <vt:i4>5</vt:i4>
      </vt:variant>
      <vt:variant>
        <vt:lpwstr>http://www.nevo.co.il/case/17916500</vt:lpwstr>
      </vt:variant>
      <vt:variant>
        <vt:lpwstr/>
      </vt:variant>
      <vt:variant>
        <vt:i4>3539058</vt:i4>
      </vt:variant>
      <vt:variant>
        <vt:i4>177</vt:i4>
      </vt:variant>
      <vt:variant>
        <vt:i4>0</vt:i4>
      </vt:variant>
      <vt:variant>
        <vt:i4>5</vt:i4>
      </vt:variant>
      <vt:variant>
        <vt:lpwstr>http://www.nevo.co.il/case/17936287</vt:lpwstr>
      </vt:variant>
      <vt:variant>
        <vt:lpwstr/>
      </vt:variant>
      <vt:variant>
        <vt:i4>3604599</vt:i4>
      </vt:variant>
      <vt:variant>
        <vt:i4>174</vt:i4>
      </vt:variant>
      <vt:variant>
        <vt:i4>0</vt:i4>
      </vt:variant>
      <vt:variant>
        <vt:i4>5</vt:i4>
      </vt:variant>
      <vt:variant>
        <vt:lpwstr>http://www.nevo.co.il/case/6143217</vt:lpwstr>
      </vt:variant>
      <vt:variant>
        <vt:lpwstr/>
      </vt:variant>
      <vt:variant>
        <vt:i4>3342455</vt:i4>
      </vt:variant>
      <vt:variant>
        <vt:i4>171</vt:i4>
      </vt:variant>
      <vt:variant>
        <vt:i4>0</vt:i4>
      </vt:variant>
      <vt:variant>
        <vt:i4>5</vt:i4>
      </vt:variant>
      <vt:variant>
        <vt:lpwstr>http://www.nevo.co.il/case/5674011</vt:lpwstr>
      </vt:variant>
      <vt:variant>
        <vt:lpwstr/>
      </vt:variant>
      <vt:variant>
        <vt:i4>1246603</vt:i4>
      </vt:variant>
      <vt:variant>
        <vt:i4>168</vt:i4>
      </vt:variant>
      <vt:variant>
        <vt:i4>0</vt:i4>
      </vt:variant>
      <vt:variant>
        <vt:i4>5</vt:i4>
      </vt:variant>
      <vt:variant>
        <vt:lpwstr>http://www.nevo.co.il/links/psika/?link=עפ 320/99&amp;Pvol=נה</vt:lpwstr>
      </vt:variant>
      <vt:variant>
        <vt:lpwstr/>
      </vt:variant>
      <vt:variant>
        <vt:i4>3145843</vt:i4>
      </vt:variant>
      <vt:variant>
        <vt:i4>165</vt:i4>
      </vt:variant>
      <vt:variant>
        <vt:i4>0</vt:i4>
      </vt:variant>
      <vt:variant>
        <vt:i4>5</vt:i4>
      </vt:variant>
      <vt:variant>
        <vt:lpwstr>http://www.nevo.co.il/case/6094936</vt:lpwstr>
      </vt:variant>
      <vt:variant>
        <vt:lpwstr/>
      </vt:variant>
      <vt:variant>
        <vt:i4>3866736</vt:i4>
      </vt:variant>
      <vt:variant>
        <vt:i4>162</vt:i4>
      </vt:variant>
      <vt:variant>
        <vt:i4>0</vt:i4>
      </vt:variant>
      <vt:variant>
        <vt:i4>5</vt:i4>
      </vt:variant>
      <vt:variant>
        <vt:lpwstr>http://www.nevo.co.il/case/17923103</vt:lpwstr>
      </vt:variant>
      <vt:variant>
        <vt:lpwstr/>
      </vt:variant>
      <vt:variant>
        <vt:i4>3407990</vt:i4>
      </vt:variant>
      <vt:variant>
        <vt:i4>159</vt:i4>
      </vt:variant>
      <vt:variant>
        <vt:i4>0</vt:i4>
      </vt:variant>
      <vt:variant>
        <vt:i4>5</vt:i4>
      </vt:variant>
      <vt:variant>
        <vt:lpwstr>http://www.nevo.co.il/case/5959420</vt:lpwstr>
      </vt:variant>
      <vt:variant>
        <vt:lpwstr/>
      </vt:variant>
      <vt:variant>
        <vt:i4>3539069</vt:i4>
      </vt:variant>
      <vt:variant>
        <vt:i4>156</vt:i4>
      </vt:variant>
      <vt:variant>
        <vt:i4>0</vt:i4>
      </vt:variant>
      <vt:variant>
        <vt:i4>5</vt:i4>
      </vt:variant>
      <vt:variant>
        <vt:lpwstr>http://www.nevo.co.il/case/5876175</vt:lpwstr>
      </vt:variant>
      <vt:variant>
        <vt:lpwstr/>
      </vt:variant>
      <vt:variant>
        <vt:i4>3145844</vt:i4>
      </vt:variant>
      <vt:variant>
        <vt:i4>153</vt:i4>
      </vt:variant>
      <vt:variant>
        <vt:i4>0</vt:i4>
      </vt:variant>
      <vt:variant>
        <vt:i4>5</vt:i4>
      </vt:variant>
      <vt:variant>
        <vt:lpwstr>http://www.nevo.co.il/case/5743140</vt:lpwstr>
      </vt:variant>
      <vt:variant>
        <vt:lpwstr/>
      </vt:variant>
      <vt:variant>
        <vt:i4>3342452</vt:i4>
      </vt:variant>
      <vt:variant>
        <vt:i4>150</vt:i4>
      </vt:variant>
      <vt:variant>
        <vt:i4>0</vt:i4>
      </vt:variant>
      <vt:variant>
        <vt:i4>5</vt:i4>
      </vt:variant>
      <vt:variant>
        <vt:lpwstr>http://www.nevo.co.il/case/5819116</vt:lpwstr>
      </vt:variant>
      <vt:variant>
        <vt:lpwstr/>
      </vt:variant>
      <vt:variant>
        <vt:i4>3604601</vt:i4>
      </vt:variant>
      <vt:variant>
        <vt:i4>147</vt:i4>
      </vt:variant>
      <vt:variant>
        <vt:i4>0</vt:i4>
      </vt:variant>
      <vt:variant>
        <vt:i4>5</vt:i4>
      </vt:variant>
      <vt:variant>
        <vt:lpwstr>http://www.nevo.co.il/case/5970742</vt:lpwstr>
      </vt:variant>
      <vt:variant>
        <vt:lpwstr/>
      </vt:variant>
      <vt:variant>
        <vt:i4>3211391</vt:i4>
      </vt:variant>
      <vt:variant>
        <vt:i4>144</vt:i4>
      </vt:variant>
      <vt:variant>
        <vt:i4>0</vt:i4>
      </vt:variant>
      <vt:variant>
        <vt:i4>5</vt:i4>
      </vt:variant>
      <vt:variant>
        <vt:lpwstr>http://www.nevo.co.il/case/5857041</vt:lpwstr>
      </vt:variant>
      <vt:variant>
        <vt:lpwstr/>
      </vt:variant>
      <vt:variant>
        <vt:i4>3539069</vt:i4>
      </vt:variant>
      <vt:variant>
        <vt:i4>141</vt:i4>
      </vt:variant>
      <vt:variant>
        <vt:i4>0</vt:i4>
      </vt:variant>
      <vt:variant>
        <vt:i4>5</vt:i4>
      </vt:variant>
      <vt:variant>
        <vt:lpwstr>http://www.nevo.co.il/case/5727190</vt:lpwstr>
      </vt:variant>
      <vt:variant>
        <vt:lpwstr/>
      </vt:variant>
      <vt:variant>
        <vt:i4>3539063</vt:i4>
      </vt:variant>
      <vt:variant>
        <vt:i4>138</vt:i4>
      </vt:variant>
      <vt:variant>
        <vt:i4>0</vt:i4>
      </vt:variant>
      <vt:variant>
        <vt:i4>5</vt:i4>
      </vt:variant>
      <vt:variant>
        <vt:lpwstr>http://www.nevo.co.il/case/6015465</vt:lpwstr>
      </vt:variant>
      <vt:variant>
        <vt:lpwstr/>
      </vt:variant>
      <vt:variant>
        <vt:i4>3997808</vt:i4>
      </vt:variant>
      <vt:variant>
        <vt:i4>135</vt:i4>
      </vt:variant>
      <vt:variant>
        <vt:i4>0</vt:i4>
      </vt:variant>
      <vt:variant>
        <vt:i4>5</vt:i4>
      </vt:variant>
      <vt:variant>
        <vt:lpwstr>http://www.nevo.co.il/case/17932079</vt:lpwstr>
      </vt:variant>
      <vt:variant>
        <vt:lpwstr/>
      </vt:variant>
      <vt:variant>
        <vt:i4>3997810</vt:i4>
      </vt:variant>
      <vt:variant>
        <vt:i4>132</vt:i4>
      </vt:variant>
      <vt:variant>
        <vt:i4>0</vt:i4>
      </vt:variant>
      <vt:variant>
        <vt:i4>5</vt:i4>
      </vt:variant>
      <vt:variant>
        <vt:lpwstr>http://www.nevo.co.il/case/17941546</vt:lpwstr>
      </vt:variant>
      <vt:variant>
        <vt:lpwstr/>
      </vt:variant>
      <vt:variant>
        <vt:i4>3407985</vt:i4>
      </vt:variant>
      <vt:variant>
        <vt:i4>129</vt:i4>
      </vt:variant>
      <vt:variant>
        <vt:i4>0</vt:i4>
      </vt:variant>
      <vt:variant>
        <vt:i4>5</vt:i4>
      </vt:variant>
      <vt:variant>
        <vt:lpwstr>http://www.nevo.co.il/case/5762700</vt:lpwstr>
      </vt:variant>
      <vt:variant>
        <vt:lpwstr/>
      </vt:variant>
      <vt:variant>
        <vt:i4>3145841</vt:i4>
      </vt:variant>
      <vt:variant>
        <vt:i4>126</vt:i4>
      </vt:variant>
      <vt:variant>
        <vt:i4>0</vt:i4>
      </vt:variant>
      <vt:variant>
        <vt:i4>5</vt:i4>
      </vt:variant>
      <vt:variant>
        <vt:lpwstr>http://www.nevo.co.il/case/6055102</vt:lpwstr>
      </vt:variant>
      <vt:variant>
        <vt:lpwstr/>
      </vt:variant>
      <vt:variant>
        <vt:i4>3932287</vt:i4>
      </vt:variant>
      <vt:variant>
        <vt:i4>123</vt:i4>
      </vt:variant>
      <vt:variant>
        <vt:i4>0</vt:i4>
      </vt:variant>
      <vt:variant>
        <vt:i4>5</vt:i4>
      </vt:variant>
      <vt:variant>
        <vt:lpwstr>http://www.nevo.co.il/case/5813901</vt:lpwstr>
      </vt:variant>
      <vt:variant>
        <vt:lpwstr/>
      </vt:variant>
      <vt:variant>
        <vt:i4>3932280</vt:i4>
      </vt:variant>
      <vt:variant>
        <vt:i4>120</vt:i4>
      </vt:variant>
      <vt:variant>
        <vt:i4>0</vt:i4>
      </vt:variant>
      <vt:variant>
        <vt:i4>5</vt:i4>
      </vt:variant>
      <vt:variant>
        <vt:lpwstr>http://www.nevo.co.il/case/5910850</vt:lpwstr>
      </vt:variant>
      <vt:variant>
        <vt:lpwstr/>
      </vt:variant>
      <vt:variant>
        <vt:i4>3997813</vt:i4>
      </vt:variant>
      <vt:variant>
        <vt:i4>117</vt:i4>
      </vt:variant>
      <vt:variant>
        <vt:i4>0</vt:i4>
      </vt:variant>
      <vt:variant>
        <vt:i4>5</vt:i4>
      </vt:variant>
      <vt:variant>
        <vt:lpwstr>http://www.nevo.co.il/case/5959419</vt:lpwstr>
      </vt:variant>
      <vt:variant>
        <vt:lpwstr/>
      </vt:variant>
      <vt:variant>
        <vt:i4>3866743</vt:i4>
      </vt:variant>
      <vt:variant>
        <vt:i4>114</vt:i4>
      </vt:variant>
      <vt:variant>
        <vt:i4>0</vt:i4>
      </vt:variant>
      <vt:variant>
        <vt:i4>5</vt:i4>
      </vt:variant>
      <vt:variant>
        <vt:lpwstr>http://www.nevo.co.il/case/17943004</vt:lpwstr>
      </vt:variant>
      <vt:variant>
        <vt:lpwstr/>
      </vt:variant>
      <vt:variant>
        <vt:i4>4063357</vt:i4>
      </vt:variant>
      <vt:variant>
        <vt:i4>111</vt:i4>
      </vt:variant>
      <vt:variant>
        <vt:i4>0</vt:i4>
      </vt:variant>
      <vt:variant>
        <vt:i4>5</vt:i4>
      </vt:variant>
      <vt:variant>
        <vt:lpwstr>http://www.nevo.co.il/case/5821108</vt:lpwstr>
      </vt:variant>
      <vt:variant>
        <vt:lpwstr/>
      </vt:variant>
      <vt:variant>
        <vt:i4>7864423</vt:i4>
      </vt:variant>
      <vt:variant>
        <vt:i4>108</vt:i4>
      </vt:variant>
      <vt:variant>
        <vt:i4>0</vt:i4>
      </vt:variant>
      <vt:variant>
        <vt:i4>5</vt:i4>
      </vt:variant>
      <vt:variant>
        <vt:lpwstr>http://www.nevo.co.il/law/74062</vt:lpwstr>
      </vt:variant>
      <vt:variant>
        <vt:lpwstr/>
      </vt:variant>
      <vt:variant>
        <vt:i4>7012455</vt:i4>
      </vt:variant>
      <vt:variant>
        <vt:i4>105</vt:i4>
      </vt:variant>
      <vt:variant>
        <vt:i4>0</vt:i4>
      </vt:variant>
      <vt:variant>
        <vt:i4>5</vt:i4>
      </vt:variant>
      <vt:variant>
        <vt:lpwstr>http://www.nevo.co.il/law/73899/14</vt:lpwstr>
      </vt:variant>
      <vt:variant>
        <vt:lpwstr/>
      </vt:variant>
      <vt:variant>
        <vt:i4>7340143</vt:i4>
      </vt:variant>
      <vt:variant>
        <vt:i4>102</vt:i4>
      </vt:variant>
      <vt:variant>
        <vt:i4>0</vt:i4>
      </vt:variant>
      <vt:variant>
        <vt:i4>5</vt:i4>
      </vt:variant>
      <vt:variant>
        <vt:lpwstr>http://www.nevo.co.il/law/73899</vt:lpwstr>
      </vt:variant>
      <vt:variant>
        <vt:lpwstr/>
      </vt:variant>
      <vt:variant>
        <vt:i4>6881388</vt:i4>
      </vt:variant>
      <vt:variant>
        <vt:i4>99</vt:i4>
      </vt:variant>
      <vt:variant>
        <vt:i4>0</vt:i4>
      </vt:variant>
      <vt:variant>
        <vt:i4>5</vt:i4>
      </vt:variant>
      <vt:variant>
        <vt:lpwstr>http://www.nevo.co.il/law/74849/17;18;19;20;21</vt:lpwstr>
      </vt:variant>
      <vt:variant>
        <vt:lpwstr/>
      </vt:variant>
      <vt:variant>
        <vt:i4>7995503</vt:i4>
      </vt:variant>
      <vt:variant>
        <vt:i4>96</vt:i4>
      </vt:variant>
      <vt:variant>
        <vt:i4>0</vt:i4>
      </vt:variant>
      <vt:variant>
        <vt:i4>5</vt:i4>
      </vt:variant>
      <vt:variant>
        <vt:lpwstr>http://www.nevo.co.il/law/74849</vt:lpwstr>
      </vt:variant>
      <vt:variant>
        <vt:lpwstr/>
      </vt:variant>
      <vt:variant>
        <vt:i4>6553702</vt:i4>
      </vt:variant>
      <vt:variant>
        <vt:i4>93</vt:i4>
      </vt:variant>
      <vt:variant>
        <vt:i4>0</vt:i4>
      </vt:variant>
      <vt:variant>
        <vt:i4>5</vt:i4>
      </vt:variant>
      <vt:variant>
        <vt:lpwstr>http://www.nevo.co.il/law/74417/24</vt:lpwstr>
      </vt:variant>
      <vt:variant>
        <vt:lpwstr/>
      </vt:variant>
      <vt:variant>
        <vt:i4>6488166</vt:i4>
      </vt:variant>
      <vt:variant>
        <vt:i4>90</vt:i4>
      </vt:variant>
      <vt:variant>
        <vt:i4>0</vt:i4>
      </vt:variant>
      <vt:variant>
        <vt:i4>5</vt:i4>
      </vt:variant>
      <vt:variant>
        <vt:lpwstr>http://www.nevo.co.il/law/74417/23</vt:lpwstr>
      </vt:variant>
      <vt:variant>
        <vt:lpwstr/>
      </vt:variant>
      <vt:variant>
        <vt:i4>8323171</vt:i4>
      </vt:variant>
      <vt:variant>
        <vt:i4>87</vt:i4>
      </vt:variant>
      <vt:variant>
        <vt:i4>0</vt:i4>
      </vt:variant>
      <vt:variant>
        <vt:i4>5</vt:i4>
      </vt:variant>
      <vt:variant>
        <vt:lpwstr>http://www.nevo.co.il/law/74417</vt:lpwstr>
      </vt:variant>
      <vt:variant>
        <vt:lpwstr/>
      </vt:variant>
      <vt:variant>
        <vt:i4>4718672</vt:i4>
      </vt:variant>
      <vt:variant>
        <vt:i4>84</vt:i4>
      </vt:variant>
      <vt:variant>
        <vt:i4>0</vt:i4>
      </vt:variant>
      <vt:variant>
        <vt:i4>5</vt:i4>
      </vt:variant>
      <vt:variant>
        <vt:lpwstr>http://www.nevo.co.il/law/131302</vt:lpwstr>
      </vt:variant>
      <vt:variant>
        <vt:lpwstr/>
      </vt:variant>
      <vt:variant>
        <vt:i4>5242953</vt:i4>
      </vt:variant>
      <vt:variant>
        <vt:i4>81</vt:i4>
      </vt:variant>
      <vt:variant>
        <vt:i4>0</vt:i4>
      </vt:variant>
      <vt:variant>
        <vt:i4>5</vt:i4>
      </vt:variant>
      <vt:variant>
        <vt:lpwstr>http://www.nevo.co.il/law/74372/13.5</vt:lpwstr>
      </vt:variant>
      <vt:variant>
        <vt:lpwstr/>
      </vt:variant>
      <vt:variant>
        <vt:i4>7929956</vt:i4>
      </vt:variant>
      <vt:variant>
        <vt:i4>78</vt:i4>
      </vt:variant>
      <vt:variant>
        <vt:i4>0</vt:i4>
      </vt:variant>
      <vt:variant>
        <vt:i4>5</vt:i4>
      </vt:variant>
      <vt:variant>
        <vt:lpwstr>http://www.nevo.co.il/law/74372</vt:lpwstr>
      </vt:variant>
      <vt:variant>
        <vt:lpwstr/>
      </vt:variant>
      <vt:variant>
        <vt:i4>5701714</vt:i4>
      </vt:variant>
      <vt:variant>
        <vt:i4>75</vt:i4>
      </vt:variant>
      <vt:variant>
        <vt:i4>0</vt:i4>
      </vt:variant>
      <vt:variant>
        <vt:i4>5</vt:i4>
      </vt:variant>
      <vt:variant>
        <vt:lpwstr>http://www.nevo.co.il/law/73015/8</vt:lpwstr>
      </vt:variant>
      <vt:variant>
        <vt:lpwstr/>
      </vt:variant>
      <vt:variant>
        <vt:i4>7864423</vt:i4>
      </vt:variant>
      <vt:variant>
        <vt:i4>72</vt:i4>
      </vt:variant>
      <vt:variant>
        <vt:i4>0</vt:i4>
      </vt:variant>
      <vt:variant>
        <vt:i4>5</vt:i4>
      </vt:variant>
      <vt:variant>
        <vt:lpwstr>http://www.nevo.co.il/law/73015</vt:lpwstr>
      </vt:variant>
      <vt:variant>
        <vt:lpwstr/>
      </vt:variant>
      <vt:variant>
        <vt:i4>6488171</vt:i4>
      </vt:variant>
      <vt:variant>
        <vt:i4>69</vt:i4>
      </vt:variant>
      <vt:variant>
        <vt:i4>0</vt:i4>
      </vt:variant>
      <vt:variant>
        <vt:i4>5</vt:i4>
      </vt:variant>
      <vt:variant>
        <vt:lpwstr>http://www.nevo.co.il/law/74903/62</vt:lpwstr>
      </vt:variant>
      <vt:variant>
        <vt:lpwstr/>
      </vt:variant>
      <vt:variant>
        <vt:i4>6815848</vt:i4>
      </vt:variant>
      <vt:variant>
        <vt:i4>66</vt:i4>
      </vt:variant>
      <vt:variant>
        <vt:i4>0</vt:i4>
      </vt:variant>
      <vt:variant>
        <vt:i4>5</vt:i4>
      </vt:variant>
      <vt:variant>
        <vt:lpwstr>http://www.nevo.co.il/law/74903/59</vt:lpwstr>
      </vt:variant>
      <vt:variant>
        <vt:lpwstr/>
      </vt:variant>
      <vt:variant>
        <vt:i4>8257646</vt:i4>
      </vt:variant>
      <vt:variant>
        <vt:i4>63</vt:i4>
      </vt:variant>
      <vt:variant>
        <vt:i4>0</vt:i4>
      </vt:variant>
      <vt:variant>
        <vt:i4>5</vt:i4>
      </vt:variant>
      <vt:variant>
        <vt:lpwstr>http://www.nevo.co.il/law/74903</vt:lpwstr>
      </vt:variant>
      <vt:variant>
        <vt:lpwstr/>
      </vt:variant>
      <vt:variant>
        <vt:i4>4522066</vt:i4>
      </vt:variant>
      <vt:variant>
        <vt:i4>60</vt:i4>
      </vt:variant>
      <vt:variant>
        <vt:i4>0</vt:i4>
      </vt:variant>
      <vt:variant>
        <vt:i4>5</vt:i4>
      </vt:variant>
      <vt:variant>
        <vt:lpwstr>http://www.nevo.co.il/law/70301/eCbS</vt:lpwstr>
      </vt:variant>
      <vt:variant>
        <vt:lpwstr/>
      </vt:variant>
      <vt:variant>
        <vt:i4>131085</vt:i4>
      </vt:variant>
      <vt:variant>
        <vt:i4>57</vt:i4>
      </vt:variant>
      <vt:variant>
        <vt:i4>0</vt:i4>
      </vt:variant>
      <vt:variant>
        <vt:i4>5</vt:i4>
      </vt:variant>
      <vt:variant>
        <vt:lpwstr>http://www.nevo.co.il/law/70301/34kc</vt:lpwstr>
      </vt:variant>
      <vt:variant>
        <vt:lpwstr/>
      </vt:variant>
      <vt:variant>
        <vt:i4>6357094</vt:i4>
      </vt:variant>
      <vt:variant>
        <vt:i4>54</vt:i4>
      </vt:variant>
      <vt:variant>
        <vt:i4>0</vt:i4>
      </vt:variant>
      <vt:variant>
        <vt:i4>5</vt:i4>
      </vt:variant>
      <vt:variant>
        <vt:lpwstr>http://www.nevo.co.il/law/70301/34k</vt:lpwstr>
      </vt:variant>
      <vt:variant>
        <vt:lpwstr/>
      </vt:variant>
      <vt:variant>
        <vt:i4>393228</vt:i4>
      </vt:variant>
      <vt:variant>
        <vt:i4>51</vt:i4>
      </vt:variant>
      <vt:variant>
        <vt:i4>0</vt:i4>
      </vt:variant>
      <vt:variant>
        <vt:i4>5</vt:i4>
      </vt:variant>
      <vt:variant>
        <vt:lpwstr>http://www.nevo.co.il/law/70301/34jg</vt:lpwstr>
      </vt:variant>
      <vt:variant>
        <vt:lpwstr/>
      </vt:variant>
      <vt:variant>
        <vt:i4>6357094</vt:i4>
      </vt:variant>
      <vt:variant>
        <vt:i4>48</vt:i4>
      </vt:variant>
      <vt:variant>
        <vt:i4>0</vt:i4>
      </vt:variant>
      <vt:variant>
        <vt:i4>5</vt:i4>
      </vt:variant>
      <vt:variant>
        <vt:lpwstr>http://www.nevo.co.il/law/70301/34e</vt:lpwstr>
      </vt:variant>
      <vt:variant>
        <vt:lpwstr/>
      </vt:variant>
      <vt:variant>
        <vt:i4>6553702</vt:i4>
      </vt:variant>
      <vt:variant>
        <vt:i4>45</vt:i4>
      </vt:variant>
      <vt:variant>
        <vt:i4>0</vt:i4>
      </vt:variant>
      <vt:variant>
        <vt:i4>5</vt:i4>
      </vt:variant>
      <vt:variant>
        <vt:lpwstr>http://www.nevo.co.il/law/70301/31</vt:lpwstr>
      </vt:variant>
      <vt:variant>
        <vt:lpwstr/>
      </vt:variant>
      <vt:variant>
        <vt:i4>7995492</vt:i4>
      </vt:variant>
      <vt:variant>
        <vt:i4>42</vt:i4>
      </vt:variant>
      <vt:variant>
        <vt:i4>0</vt:i4>
      </vt:variant>
      <vt:variant>
        <vt:i4>5</vt:i4>
      </vt:variant>
      <vt:variant>
        <vt:lpwstr>http://www.nevo.co.il/law/70301</vt:lpwstr>
      </vt:variant>
      <vt:variant>
        <vt:lpwstr/>
      </vt:variant>
      <vt:variant>
        <vt:i4>7077989</vt:i4>
      </vt:variant>
      <vt:variant>
        <vt:i4>39</vt:i4>
      </vt:variant>
      <vt:variant>
        <vt:i4>0</vt:i4>
      </vt:variant>
      <vt:variant>
        <vt:i4>5</vt:i4>
      </vt:variant>
      <vt:variant>
        <vt:lpwstr>http://www.nevo.co.il/law/71600/48</vt:lpwstr>
      </vt:variant>
      <vt:variant>
        <vt:lpwstr/>
      </vt:variant>
      <vt:variant>
        <vt:i4>3342437</vt:i4>
      </vt:variant>
      <vt:variant>
        <vt:i4>36</vt:i4>
      </vt:variant>
      <vt:variant>
        <vt:i4>0</vt:i4>
      </vt:variant>
      <vt:variant>
        <vt:i4>5</vt:i4>
      </vt:variant>
      <vt:variant>
        <vt:lpwstr>http://www.nevo.co.il/law/71600/47.a.1</vt:lpwstr>
      </vt:variant>
      <vt:variant>
        <vt:lpwstr/>
      </vt:variant>
      <vt:variant>
        <vt:i4>6357088</vt:i4>
      </vt:variant>
      <vt:variant>
        <vt:i4>33</vt:i4>
      </vt:variant>
      <vt:variant>
        <vt:i4>0</vt:i4>
      </vt:variant>
      <vt:variant>
        <vt:i4>5</vt:i4>
      </vt:variant>
      <vt:variant>
        <vt:lpwstr>http://www.nevo.co.il/law/71600/15a</vt:lpwstr>
      </vt:variant>
      <vt:variant>
        <vt:lpwstr/>
      </vt:variant>
      <vt:variant>
        <vt:i4>6291552</vt:i4>
      </vt:variant>
      <vt:variant>
        <vt:i4>30</vt:i4>
      </vt:variant>
      <vt:variant>
        <vt:i4>0</vt:i4>
      </vt:variant>
      <vt:variant>
        <vt:i4>5</vt:i4>
      </vt:variant>
      <vt:variant>
        <vt:lpwstr>http://www.nevo.co.il/law/71600/14</vt:lpwstr>
      </vt:variant>
      <vt:variant>
        <vt:lpwstr/>
      </vt:variant>
      <vt:variant>
        <vt:i4>6553696</vt:i4>
      </vt:variant>
      <vt:variant>
        <vt:i4>27</vt:i4>
      </vt:variant>
      <vt:variant>
        <vt:i4>0</vt:i4>
      </vt:variant>
      <vt:variant>
        <vt:i4>5</vt:i4>
      </vt:variant>
      <vt:variant>
        <vt:lpwstr>http://www.nevo.co.il/law/71600/10</vt:lpwstr>
      </vt:variant>
      <vt:variant>
        <vt:lpwstr/>
      </vt:variant>
      <vt:variant>
        <vt:i4>5505105</vt:i4>
      </vt:variant>
      <vt:variant>
        <vt:i4>24</vt:i4>
      </vt:variant>
      <vt:variant>
        <vt:i4>0</vt:i4>
      </vt:variant>
      <vt:variant>
        <vt:i4>5</vt:i4>
      </vt:variant>
      <vt:variant>
        <vt:lpwstr>http://www.nevo.co.il/law/71600/9</vt:lpwstr>
      </vt:variant>
      <vt:variant>
        <vt:lpwstr/>
      </vt:variant>
      <vt:variant>
        <vt:i4>5505105</vt:i4>
      </vt:variant>
      <vt:variant>
        <vt:i4>21</vt:i4>
      </vt:variant>
      <vt:variant>
        <vt:i4>0</vt:i4>
      </vt:variant>
      <vt:variant>
        <vt:i4>5</vt:i4>
      </vt:variant>
      <vt:variant>
        <vt:lpwstr>http://www.nevo.co.il/law/71600/4</vt:lpwstr>
      </vt:variant>
      <vt:variant>
        <vt:lpwstr/>
      </vt:variant>
      <vt:variant>
        <vt:i4>5505025</vt:i4>
      </vt:variant>
      <vt:variant>
        <vt:i4>18</vt:i4>
      </vt:variant>
      <vt:variant>
        <vt:i4>0</vt:i4>
      </vt:variant>
      <vt:variant>
        <vt:i4>5</vt:i4>
      </vt:variant>
      <vt:variant>
        <vt:lpwstr>http://www.nevo.co.il/law/71600/2.b.3</vt:lpwstr>
      </vt:variant>
      <vt:variant>
        <vt:lpwstr/>
      </vt:variant>
      <vt:variant>
        <vt:i4>7995491</vt:i4>
      </vt:variant>
      <vt:variant>
        <vt:i4>15</vt:i4>
      </vt:variant>
      <vt:variant>
        <vt:i4>0</vt:i4>
      </vt:variant>
      <vt:variant>
        <vt:i4>5</vt:i4>
      </vt:variant>
      <vt:variant>
        <vt:lpwstr>http://www.nevo.co.il/law/71600/2.b</vt:lpwstr>
      </vt:variant>
      <vt:variant>
        <vt:lpwstr/>
      </vt:variant>
      <vt:variant>
        <vt:i4>7995491</vt:i4>
      </vt:variant>
      <vt:variant>
        <vt:i4>12</vt:i4>
      </vt:variant>
      <vt:variant>
        <vt:i4>0</vt:i4>
      </vt:variant>
      <vt:variant>
        <vt:i4>5</vt:i4>
      </vt:variant>
      <vt:variant>
        <vt:lpwstr>http://www.nevo.co.il/law/71600/2.a</vt:lpwstr>
      </vt:variant>
      <vt:variant>
        <vt:lpwstr/>
      </vt:variant>
      <vt:variant>
        <vt:i4>5505105</vt:i4>
      </vt:variant>
      <vt:variant>
        <vt:i4>9</vt:i4>
      </vt:variant>
      <vt:variant>
        <vt:i4>0</vt:i4>
      </vt:variant>
      <vt:variant>
        <vt:i4>5</vt:i4>
      </vt:variant>
      <vt:variant>
        <vt:lpwstr>http://www.nevo.co.il/law/71600/2</vt:lpwstr>
      </vt:variant>
      <vt:variant>
        <vt:lpwstr/>
      </vt:variant>
      <vt:variant>
        <vt:i4>8061025</vt:i4>
      </vt:variant>
      <vt:variant>
        <vt:i4>6</vt:i4>
      </vt:variant>
      <vt:variant>
        <vt:i4>0</vt:i4>
      </vt:variant>
      <vt:variant>
        <vt:i4>5</vt:i4>
      </vt:variant>
      <vt:variant>
        <vt:lpwstr>http://www.nevo.co.il/law/71600</vt:lpwstr>
      </vt:variant>
      <vt:variant>
        <vt:lpwstr/>
      </vt:variant>
      <vt:variant>
        <vt:i4>5636187</vt:i4>
      </vt:variant>
      <vt:variant>
        <vt:i4>3</vt:i4>
      </vt:variant>
      <vt:variant>
        <vt:i4>0</vt:i4>
      </vt:variant>
      <vt:variant>
        <vt:i4>5</vt:i4>
      </vt:variant>
      <vt:variant>
        <vt:lpwstr>http://www.nevo.co.il/law/74874/2</vt:lpwstr>
      </vt:variant>
      <vt:variant>
        <vt:lpwstr/>
      </vt:variant>
      <vt:variant>
        <vt:i4>7929967</vt:i4>
      </vt:variant>
      <vt:variant>
        <vt:i4>0</vt:i4>
      </vt:variant>
      <vt:variant>
        <vt:i4>0</vt:i4>
      </vt:variant>
      <vt:variant>
        <vt:i4>5</vt:i4>
      </vt:variant>
      <vt:variant>
        <vt:lpwstr>http://www.nevo.co.il/law/74874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2008-09-17T09:05:00Z</cp:lastPrinted>
  <dcterms:created xsi:type="dcterms:W3CDTF">2019-01-30T08:38:00Z</dcterms:created>
  <dcterms:modified xsi:type="dcterms:W3CDTF">2019-01-30T08:38:00Z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NUMPAGES">
    <vt:lpwstr>43</vt:lpwstr>
  </property>
  <property fmtid="{D5CDD505-2E9C-101B-9397-08002B2CF9AE}" pid="3" name="PROCESS">
    <vt:lpwstr>עפ</vt:lpwstr>
  </property>
  <property fmtid="{D5CDD505-2E9C-101B-9397-08002B2CF9AE}" pid="4" name="PROCNUM">
    <vt:lpwstr>7829</vt:lpwstr>
  </property>
  <property fmtid="{D5CDD505-2E9C-101B-9397-08002B2CF9AE}" pid="5" name="PROCYEAR">
    <vt:lpwstr>03</vt:lpwstr>
  </property>
  <property fmtid="{D5CDD505-2E9C-101B-9397-08002B2CF9AE}" pid="6" name="APPELLANT">
    <vt:lpwstr>מדינת ישראל</vt:lpwstr>
  </property>
  <property fmtid="{D5CDD505-2E9C-101B-9397-08002B2CF9AE}" pid="7" name="APPELLEE">
    <vt:lpwstr>אריאל הנדסת חשמל רמזורים ובקרה בע#מ;אברהם הרשלום;שי אופיר</vt:lpwstr>
  </property>
  <property fmtid="{D5CDD505-2E9C-101B-9397-08002B2CF9AE}" pid="8" name="DATE">
    <vt:lpwstr>20050714</vt:lpwstr>
  </property>
  <property fmtid="{D5CDD505-2E9C-101B-9397-08002B2CF9AE}" pid="9" name="JUDGE">
    <vt:lpwstr>א' א' לוי;ס' ג'ובראן;א' חיות</vt:lpwstr>
  </property>
  <property fmtid="{D5CDD505-2E9C-101B-9397-08002B2CF9AE}" pid="10" name="LAWYER">
    <vt:lpwstr>דוד גדעוני;מיכל הלפרין;אסף מוזס;דן שינמן;נילי רוטלוי;דורי קלגסבלד;שרון קליימן;גור בליי</vt:lpwstr>
  </property>
  <property fmtid="{D5CDD505-2E9C-101B-9397-08002B2CF9AE}" pid="11" name="PSAKDIN">
    <vt:lpwstr>פסק-דין</vt:lpwstr>
  </property>
  <property fmtid="{D5CDD505-2E9C-101B-9397-08002B2CF9AE}" pid="12" name="TYPE">
    <vt:lpwstr>1</vt:lpwstr>
  </property>
  <property fmtid="{D5CDD505-2E9C-101B-9397-08002B2CF9AE}" pid="13" name="VOLUME">
    <vt:lpwstr>ס</vt:lpwstr>
  </property>
  <property fmtid="{D5CDD505-2E9C-101B-9397-08002B2CF9AE}" pid="14" name="PART">
    <vt:lpwstr>2</vt:lpwstr>
  </property>
  <property fmtid="{D5CDD505-2E9C-101B-9397-08002B2CF9AE}" pid="15" name="PAGE">
    <vt:lpwstr>120</vt:lpwstr>
  </property>
  <property fmtid="{D5CDD505-2E9C-101B-9397-08002B2CF9AE}" pid="16" name="PADIMAIL">
    <vt:lpwstr>YES</vt:lpwstr>
  </property>
  <property fmtid="{D5CDD505-2E9C-101B-9397-08002B2CF9AE}" pid="17" name="TYPE_N_DATE">
    <vt:lpwstr>41020050714</vt:lpwstr>
  </property>
  <property fmtid="{D5CDD505-2E9C-101B-9397-08002B2CF9AE}" pid="18" name="TYPE_ABS_DATE">
    <vt:lpwstr>410120050714</vt:lpwstr>
  </property>
  <property fmtid="{D5CDD505-2E9C-101B-9397-08002B2CF9AE}" pid="19" name="NOSE11">
    <vt:lpwstr>הגבלים עסקיים</vt:lpwstr>
  </property>
  <property fmtid="{D5CDD505-2E9C-101B-9397-08002B2CF9AE}" pid="20" name="NOSE21">
    <vt:lpwstr>הסדר כובל</vt:lpwstr>
  </property>
  <property fmtid="{D5CDD505-2E9C-101B-9397-08002B2CF9AE}" pid="21" name="NOSE31">
    <vt:lpwstr>מהו</vt:lpwstr>
  </property>
  <property fmtid="{D5CDD505-2E9C-101B-9397-08002B2CF9AE}" pid="22" name="NOSE12">
    <vt:lpwstr>הגבלים עסקיים</vt:lpwstr>
  </property>
  <property fmtid="{D5CDD505-2E9C-101B-9397-08002B2CF9AE}" pid="23" name="NOSE22">
    <vt:lpwstr>הסדר כובל</vt:lpwstr>
  </property>
  <property fmtid="{D5CDD505-2E9C-101B-9397-08002B2CF9AE}" pid="24" name="NOSE32">
    <vt:lpwstr>הוכחתו</vt:lpwstr>
  </property>
  <property fmtid="{D5CDD505-2E9C-101B-9397-08002B2CF9AE}" pid="25" name="NOSE13">
    <vt:lpwstr>הגבלים עסקיים</vt:lpwstr>
  </property>
  <property fmtid="{D5CDD505-2E9C-101B-9397-08002B2CF9AE}" pid="26" name="NOSE23">
    <vt:lpwstr>הסדר כובל</vt:lpwstr>
  </property>
  <property fmtid="{D5CDD505-2E9C-101B-9397-08002B2CF9AE}" pid="27" name="NOSE33">
    <vt:lpwstr>כעבירה</vt:lpwstr>
  </property>
  <property fmtid="{D5CDD505-2E9C-101B-9397-08002B2CF9AE}" pid="28" name="NOSE14">
    <vt:lpwstr>עונשין</vt:lpwstr>
  </property>
  <property fmtid="{D5CDD505-2E9C-101B-9397-08002B2CF9AE}" pid="29" name="NOSE24">
    <vt:lpwstr>הגנות</vt:lpwstr>
  </property>
  <property fmtid="{D5CDD505-2E9C-101B-9397-08002B2CF9AE}" pid="30" name="NOSE34">
    <vt:lpwstr>זוטי דברים</vt:lpwstr>
  </property>
  <property fmtid="{D5CDD505-2E9C-101B-9397-08002B2CF9AE}" pid="31" name="NOSE15">
    <vt:lpwstr>עונשין</vt:lpwstr>
  </property>
  <property fmtid="{D5CDD505-2E9C-101B-9397-08002B2CF9AE}" pid="32" name="NOSE25">
    <vt:lpwstr>הגנות</vt:lpwstr>
  </property>
  <property fmtid="{D5CDD505-2E9C-101B-9397-08002B2CF9AE}" pid="33" name="NOSE35">
    <vt:lpwstr>חסינות</vt:lpwstr>
  </property>
  <property fmtid="{D5CDD505-2E9C-101B-9397-08002B2CF9AE}" pid="34" name="NOSE16">
    <vt:lpwstr>עונשין</vt:lpwstr>
  </property>
  <property fmtid="{D5CDD505-2E9C-101B-9397-08002B2CF9AE}" pid="35" name="NOSE26">
    <vt:lpwstr>סיוע לעבירה</vt:lpwstr>
  </property>
  <property fmtid="{D5CDD505-2E9C-101B-9397-08002B2CF9AE}" pid="36" name="NOSE36">
    <vt:lpwstr>יסודותיו</vt:lpwstr>
  </property>
  <property fmtid="{D5CDD505-2E9C-101B-9397-08002B2CF9AE}" pid="37" name="NOSE17">
    <vt:lpwstr>עונשין</vt:lpwstr>
  </property>
  <property fmtid="{D5CDD505-2E9C-101B-9397-08002B2CF9AE}" pid="38" name="NOSE27">
    <vt:lpwstr>סיוע לעבירה</vt:lpwstr>
  </property>
  <property fmtid="{D5CDD505-2E9C-101B-9397-08002B2CF9AE}" pid="39" name="NOSE37">
    <vt:lpwstr>מטרה משותפת</vt:lpwstr>
  </property>
  <property fmtid="{D5CDD505-2E9C-101B-9397-08002B2CF9AE}" pid="40" name="ISABSTRACT">
    <vt:lpwstr>Y</vt:lpwstr>
  </property>
  <property fmtid="{D5CDD505-2E9C-101B-9397-08002B2CF9AE}" pid="41" name="BOOKGROUPTMP">
    <vt:lpwstr>412:2</vt:lpwstr>
  </property>
  <property fmtid="{D5CDD505-2E9C-101B-9397-08002B2CF9AE}" pid="42" name="BOOKLISTTMP">
    <vt:lpwstr>6889:2;6650:2;5505:2;444:2;3227:2;3173;2884:2;10052:2</vt:lpwstr>
  </property>
  <property fmtid="{D5CDD505-2E9C-101B-9397-08002B2CF9AE}" pid="43" name="CASESLISTTMP1">
    <vt:lpwstr>5821108:2;17943004:2;5959419:3;5910850:3;5813901:3;6055102:3;5762700:2;17941546:2;17932079:2;6015465:2;5727190:2;5857041:2;5970742:2;5819116:3;5743140:2;5876175:2;5959420:2;17923103:2;6094936:3;5674011:2;6143217:2;17936287:2;17916500:2;17930849</vt:lpwstr>
  </property>
  <property fmtid="{D5CDD505-2E9C-101B-9397-08002B2CF9AE}" pid="44" name="CASENOTES1">
    <vt:lpwstr>ProcID=133&amp;PartA=320&amp;PartC=99</vt:lpwstr>
  </property>
  <property fmtid="{D5CDD505-2E9C-101B-9397-08002B2CF9AE}" pid="45" name="CASENOTES2">
    <vt:lpwstr>ProcID=209&amp;PartA=287&amp;PartC=98</vt:lpwstr>
  </property>
  <property fmtid="{D5CDD505-2E9C-101B-9397-08002B2CF9AE}" pid="46" name="CASENOTES3">
    <vt:lpwstr>ProcID=209&amp;PartA=385&amp;PartC=98</vt:lpwstr>
  </property>
  <property fmtid="{D5CDD505-2E9C-101B-9397-08002B2CF9AE}" pid="47" name="CASENOTES4">
    <vt:lpwstr>ProcID=9&amp;PartA=3544&amp;PartC=94</vt:lpwstr>
  </property>
  <property fmtid="{D5CDD505-2E9C-101B-9397-08002B2CF9AE}" pid="48" name="LAWLISTTMP1">
    <vt:lpwstr>74874/002</vt:lpwstr>
  </property>
  <property fmtid="{D5CDD505-2E9C-101B-9397-08002B2CF9AE}" pid="49" name="LAWLISTTMP2">
    <vt:lpwstr>71600/002:6;002.a:6;002.b:18;002.b.3:10;004:2;009:2;010;014;015a;047.a.1:2;048:2</vt:lpwstr>
  </property>
  <property fmtid="{D5CDD505-2E9C-101B-9397-08002B2CF9AE}" pid="50" name="LAWLISTTMP3">
    <vt:lpwstr>70301/031;034e;34jg:9;034k:19;34kc;eCbS;e1CbS</vt:lpwstr>
  </property>
  <property fmtid="{D5CDD505-2E9C-101B-9397-08002B2CF9AE}" pid="51" name="LAWLISTTMP4">
    <vt:lpwstr>74903/059;062</vt:lpwstr>
  </property>
  <property fmtid="{D5CDD505-2E9C-101B-9397-08002B2CF9AE}" pid="52" name="LAWLISTTMP5">
    <vt:lpwstr>73015/008</vt:lpwstr>
  </property>
  <property fmtid="{D5CDD505-2E9C-101B-9397-08002B2CF9AE}" pid="53" name="LAWLISTTMP6">
    <vt:lpwstr>74372/013.5</vt:lpwstr>
  </property>
  <property fmtid="{D5CDD505-2E9C-101B-9397-08002B2CF9AE}" pid="54" name="LAWLISTTMP7">
    <vt:lpwstr>131302</vt:lpwstr>
  </property>
  <property fmtid="{D5CDD505-2E9C-101B-9397-08002B2CF9AE}" pid="55" name="LAWLISTTMP8">
    <vt:lpwstr>74417/023;024</vt:lpwstr>
  </property>
  <property fmtid="{D5CDD505-2E9C-101B-9397-08002B2CF9AE}" pid="56" name="LAWLISTTMP9">
    <vt:lpwstr>74849/017;018;019;020;021</vt:lpwstr>
  </property>
  <property fmtid="{D5CDD505-2E9C-101B-9397-08002B2CF9AE}" pid="57" name="LAWLISTTMP10">
    <vt:lpwstr>73899/014</vt:lpwstr>
  </property>
  <property fmtid="{D5CDD505-2E9C-101B-9397-08002B2CF9AE}" pid="58" name="LAWLISTTMP11">
    <vt:lpwstr>74062</vt:lpwstr>
  </property>
  <property fmtid="{D5CDD505-2E9C-101B-9397-08002B2CF9AE}" pid="59" name="LAWLISTTMP12">
    <vt:lpwstr>70320</vt:lpwstr>
  </property>
  <property fmtid="{D5CDD505-2E9C-101B-9397-08002B2CF9AE}" pid="60" name="PADITYPE">
    <vt:lpwstr>1</vt:lpwstr>
  </property>
</Properties>
</file>